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1A8D">
      <w:pPr>
        <w:pStyle w:val="a3"/>
        <w:divId w:val="11628167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281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78973322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</w:p>
        </w:tc>
      </w:tr>
      <w:tr w:rsidR="00000000">
        <w:trPr>
          <w:divId w:val="116281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</w:p>
        </w:tc>
      </w:tr>
      <w:tr w:rsidR="00000000">
        <w:trPr>
          <w:divId w:val="116281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281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1A8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1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</w:t>
            </w:r>
            <w:r>
              <w:rPr>
                <w:rFonts w:eastAsia="Times New Roman"/>
              </w:rPr>
              <w:t>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E1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</w:p>
        </w:tc>
      </w:tr>
    </w:tbl>
    <w:p w:rsidR="00000000" w:rsidRDefault="001E1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5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A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</w:t>
            </w:r>
            <w:r>
              <w:rPr>
                <w:rFonts w:eastAsia="Times New Roman"/>
              </w:rPr>
              <w:t xml:space="preserve">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1E1A8D">
      <w:pPr>
        <w:rPr>
          <w:rFonts w:eastAsia="Times New Roman"/>
        </w:rPr>
      </w:pPr>
    </w:p>
    <w:p w:rsidR="00000000" w:rsidRDefault="001E1A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1A8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2022 год.</w:t>
      </w:r>
      <w:r>
        <w:rPr>
          <w:rFonts w:eastAsia="Times New Roman"/>
        </w:rPr>
        <w:br/>
        <w:t>3. Утверждение распределения прибыли (убытков) Общества по результатам 2022 года.</w:t>
      </w:r>
      <w:r>
        <w:rPr>
          <w:rFonts w:eastAsia="Times New Roman"/>
        </w:rPr>
        <w:br/>
        <w:t>4. О размере дивидендов, сроках и форм</w:t>
      </w:r>
      <w:r>
        <w:rPr>
          <w:rFonts w:eastAsia="Times New Roman"/>
        </w:rPr>
        <w:t>е их выплаты по итогам работы за 2022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</w:t>
      </w:r>
      <w:r>
        <w:rPr>
          <w:rFonts w:eastAsia="Times New Roman"/>
        </w:rPr>
        <w:t>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</w:t>
      </w:r>
      <w:r>
        <w:rPr>
          <w:rFonts w:eastAsia="Times New Roman"/>
        </w:rPr>
        <w:t>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Назначение аудиторской организации Общества.</w:t>
      </w:r>
      <w:r>
        <w:rPr>
          <w:rFonts w:eastAsia="Times New Roman"/>
        </w:rPr>
        <w:br/>
        <w:t>10. Об определении количества, номинальной стоимости, категории (типа) объявленных акций Общества и</w:t>
      </w:r>
      <w:r>
        <w:rPr>
          <w:rFonts w:eastAsia="Times New Roman"/>
        </w:rPr>
        <w:t xml:space="preserve"> прав, предоставляемых этими акциями.</w:t>
      </w:r>
      <w:r>
        <w:rPr>
          <w:rFonts w:eastAsia="Times New Roman"/>
        </w:rPr>
        <w:br/>
        <w:t>11. О внесении изменений в Устав Общества.</w:t>
      </w:r>
      <w:r>
        <w:rPr>
          <w:rFonts w:eastAsia="Times New Roman"/>
        </w:rPr>
        <w:br/>
        <w:t xml:space="preserve">12. Об увеличении уставного капитала Общества путем размещения дополнительных акций. </w:t>
      </w:r>
    </w:p>
    <w:p w:rsidR="00000000" w:rsidRDefault="001E1A8D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 xml:space="preserve">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>порядку предоставления центральным депозитарием доступа к такой информации"</w:t>
      </w:r>
    </w:p>
    <w:p w:rsidR="00000000" w:rsidRDefault="001E1A8D">
      <w:pPr>
        <w:pStyle w:val="a3"/>
      </w:pPr>
      <w:r>
        <w:t>4.2 Информация о созыве общего собрания акционеров эмитента</w:t>
      </w:r>
    </w:p>
    <w:p w:rsidR="00000000" w:rsidRDefault="001E1A8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000000" w:rsidRDefault="001E1A8D">
      <w:pPr>
        <w:rPr>
          <w:rFonts w:eastAsia="Times New Roman"/>
        </w:rPr>
      </w:pPr>
      <w:r>
        <w:rPr>
          <w:rFonts w:eastAsia="Times New Roman"/>
        </w:rPr>
        <w:br/>
      </w:r>
    </w:p>
    <w:p w:rsidR="001E1A8D" w:rsidRDefault="001E1A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1E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F95"/>
    <w:rsid w:val="001E1A8D"/>
    <w:rsid w:val="00C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248DE0-041F-4FCE-BF1E-C0A3A09F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2023-06-01T08:31:00Z</dcterms:created>
  <dcterms:modified xsi:type="dcterms:W3CDTF">2023-06-01T08:31:00Z</dcterms:modified>
</cp:coreProperties>
</file>