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72597">
      <w:pPr>
        <w:pStyle w:val="a3"/>
        <w:divId w:val="209775075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97750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22979138</w:t>
            </w:r>
          </w:p>
        </w:tc>
        <w:tc>
          <w:tcPr>
            <w:tcW w:w="0" w:type="auto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</w:p>
        </w:tc>
      </w:tr>
      <w:tr w:rsidR="00000000">
        <w:trPr>
          <w:divId w:val="2097750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</w:p>
        </w:tc>
      </w:tr>
      <w:tr w:rsidR="00000000">
        <w:trPr>
          <w:divId w:val="2097750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22594854</w:t>
            </w:r>
          </w:p>
        </w:tc>
        <w:tc>
          <w:tcPr>
            <w:tcW w:w="0" w:type="auto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</w:p>
        </w:tc>
      </w:tr>
      <w:tr w:rsidR="00000000">
        <w:trPr>
          <w:divId w:val="2097750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7750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7259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"Мечел" ИНН 7703370008 (акция 1-01-55005-E/RU000A0DKXV5)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72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281333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E725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8"/>
        <w:gridCol w:w="917"/>
        <w:gridCol w:w="1273"/>
        <w:gridCol w:w="1273"/>
        <w:gridCol w:w="1057"/>
        <w:gridCol w:w="1255"/>
        <w:gridCol w:w="1255"/>
        <w:gridCol w:w="138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72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72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281333X5900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"Мечел"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1-01-55005-E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RU000A0DKXV5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7259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2"/>
        <w:gridCol w:w="6543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7259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Принять решение о согласии на совершение сделки, в совершении которой имеется заинтересованность в виде заключения Дополнительного соглашения №3 к Договору поручительства №84-85/13-В-П-2 от 18 июня 2013 года (далее – «Договор поручительства»), (далее </w:t>
            </w:r>
            <w:r>
              <w:rPr>
                <w:rFonts w:eastAsia="Times New Roman"/>
              </w:rPr>
              <w:t>– «Дополнительное соглашение к Договору поручительства»), заключаемое между «Газпромбанк» (Акционерное общество) и Публичным акционерным обществом «Мечел» на следующих существенных условиях: Стороны сделки: - Публичное акционерное общество «Мечел», именуем</w:t>
            </w:r>
            <w:r>
              <w:rPr>
                <w:rFonts w:eastAsia="Times New Roman"/>
              </w:rPr>
              <w:t>ое в дальнейшем «Поручитель», - «Газпромбанк» (Акционерное общество), именуемое в дальнейшем «Кредитор» или «Банк» Выгодоприобретатели: - Публичное акционерное общество «Угольная компания «Южный Кузбасс» (ПАО «Южный Кузбасс») - Акционерное общество холдинг</w:t>
            </w:r>
            <w:r>
              <w:rPr>
                <w:rFonts w:eastAsia="Times New Roman"/>
              </w:rPr>
              <w:t xml:space="preserve">овая компания « Якутуголь» (АО ХК «Якутуголь»), далее каждое именуется «Должник» и совместно именуются «Должники». Лицо (лица), имеющие заинтересованность в совершении сделки: Член Совета директоров ПАО «Мечел» Зюзин И.В., Член Правления ПАО «Мечел»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166058936</w:t>
            </w:r>
            <w:r>
              <w:rPr>
                <w:rFonts w:eastAsia="Times New Roman"/>
              </w:rPr>
              <w:br/>
              <w:t>Против: 7256888</w:t>
            </w:r>
            <w:r>
              <w:rPr>
                <w:rFonts w:eastAsia="Times New Roman"/>
              </w:rPr>
              <w:br/>
              <w:t>Воздержался: 5552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1.2. Принять решение о согласии на совершение сделки, в совершении которой имеется заинтересованность в виде заключения Договора </w:t>
            </w:r>
            <w:r>
              <w:rPr>
                <w:rFonts w:eastAsia="Times New Roman"/>
              </w:rPr>
              <w:t>залога акций (далее – «Договор») между «Газпромбанк» (Акционерное общество), именуемым в дальнейшем «Залогодержатель», «Кредитор» или «Банк» и Публичным акционерным обществом «Мечел», именуемым в дальнейшем «Залогодатель» или «Компания», на следующих сущес</w:t>
            </w:r>
            <w:r>
              <w:rPr>
                <w:rFonts w:eastAsia="Times New Roman"/>
              </w:rPr>
              <w:t>твенных условиях: Стороны сделки: - «Газпромбанк» (Акционерное общество), именуемый в дальнейшем «Залогодержатель», «Кредитор» или «Банк»; Публичное акционерное общество «Мечел», именуемое в дальнейшем «Залогодатель» или «Компания» Выгодоприобретатели: Акц</w:t>
            </w:r>
            <w:r>
              <w:rPr>
                <w:rFonts w:eastAsia="Times New Roman"/>
              </w:rPr>
              <w:t>ионерное общество Холдинговая компания «Якутуголь» (АО ХК «Якутуголь») Публичное акционерное общество «Южный Кузбасс» (ПАО «Южный Кузбасс») Акционерное общество «Торговый порт Посьет» (АО «Торговый порт Посьет») Публичное акционерное общество «Уральская ку</w:t>
            </w:r>
            <w:r>
              <w:rPr>
                <w:rFonts w:eastAsia="Times New Roman"/>
              </w:rPr>
              <w:t xml:space="preserve">зница» (ПАО «Уралкуз») Публичное акционерное общество «Челябинский металлургический комбинат» (ПАО «ЧМК») Акционерно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7259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166058936</w:t>
            </w:r>
            <w:r>
              <w:rPr>
                <w:rFonts w:eastAsia="Times New Roman"/>
              </w:rPr>
              <w:br/>
              <w:t>Против: 7256888</w:t>
            </w:r>
            <w:r>
              <w:rPr>
                <w:rFonts w:eastAsia="Times New Roman"/>
              </w:rPr>
              <w:br/>
              <w:t>Воздержался: 5552</w:t>
            </w:r>
          </w:p>
        </w:tc>
      </w:tr>
    </w:tbl>
    <w:p w:rsidR="00000000" w:rsidRDefault="00E72597">
      <w:pPr>
        <w:rPr>
          <w:rFonts w:eastAsia="Times New Roman"/>
        </w:rPr>
      </w:pPr>
    </w:p>
    <w:p w:rsidR="00000000" w:rsidRDefault="00E72597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</w:t>
      </w:r>
      <w:r>
        <w:t>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7259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</w:t>
        </w:r>
        <w:r>
          <w:rPr>
            <w:rStyle w:val="a4"/>
          </w:rPr>
          <w:t>рнет, по которому можно ознакомиться с дополнительной документацией</w:t>
        </w:r>
      </w:hyperlink>
    </w:p>
    <w:p w:rsidR="00E72597" w:rsidRDefault="00E7259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</w:t>
      </w:r>
      <w:r>
        <w:t>ount  manager (495) 956-27-90, (495) 956-27-91</w:t>
      </w:r>
    </w:p>
    <w:sectPr w:rsidR="00E7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74474"/>
    <w:rsid w:val="00474474"/>
    <w:rsid w:val="00E7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41ae02b1124ab38ccbcbf79e9e42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2017-05-24T08:30:00Z</dcterms:created>
  <dcterms:modified xsi:type="dcterms:W3CDTF">2017-05-24T08:30:00Z</dcterms:modified>
</cp:coreProperties>
</file>