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C4C1B">
      <w:pPr>
        <w:pStyle w:val="a3"/>
        <w:divId w:val="2123840389"/>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2123840389"/>
          <w:tblCellSpacing w:w="7" w:type="dxa"/>
        </w:trPr>
        <w:tc>
          <w:tcPr>
            <w:tcW w:w="0" w:type="auto"/>
            <w:vAlign w:val="center"/>
            <w:hideMark/>
          </w:tcPr>
          <w:p w:rsidR="00000000" w:rsidRDefault="003C4C1B">
            <w:pPr>
              <w:rPr>
                <w:rFonts w:eastAsia="Times New Roman"/>
              </w:rPr>
            </w:pPr>
            <w:r>
              <w:rPr>
                <w:rFonts w:eastAsia="Times New Roman"/>
              </w:rPr>
              <w:t>Сообщение</w:t>
            </w:r>
          </w:p>
        </w:tc>
        <w:tc>
          <w:tcPr>
            <w:tcW w:w="0" w:type="auto"/>
            <w:vAlign w:val="center"/>
            <w:hideMark/>
          </w:tcPr>
          <w:p w:rsidR="00000000" w:rsidRDefault="003C4C1B">
            <w:pPr>
              <w:rPr>
                <w:rFonts w:eastAsia="Times New Roman"/>
              </w:rPr>
            </w:pPr>
            <w:r>
              <w:rPr>
                <w:rFonts w:eastAsia="Times New Roman"/>
              </w:rPr>
              <w:t>№ 91145873</w:t>
            </w:r>
          </w:p>
        </w:tc>
        <w:tc>
          <w:tcPr>
            <w:tcW w:w="0" w:type="auto"/>
            <w:vAlign w:val="center"/>
            <w:hideMark/>
          </w:tcPr>
          <w:p w:rsidR="00000000" w:rsidRDefault="003C4C1B">
            <w:pPr>
              <w:rPr>
                <w:rFonts w:eastAsia="Times New Roman"/>
              </w:rPr>
            </w:pPr>
          </w:p>
        </w:tc>
      </w:tr>
      <w:tr w:rsidR="00000000">
        <w:trPr>
          <w:divId w:val="2123840389"/>
          <w:tblCellSpacing w:w="7" w:type="dxa"/>
        </w:trPr>
        <w:tc>
          <w:tcPr>
            <w:tcW w:w="0" w:type="auto"/>
            <w:vAlign w:val="center"/>
            <w:hideMark/>
          </w:tcPr>
          <w:p w:rsidR="00000000" w:rsidRDefault="003C4C1B">
            <w:pPr>
              <w:rPr>
                <w:rFonts w:eastAsia="Times New Roman"/>
              </w:rPr>
            </w:pPr>
            <w:r>
              <w:rPr>
                <w:rFonts w:eastAsia="Times New Roman"/>
              </w:rPr>
              <w:t>Функция сообщения:</w:t>
            </w:r>
          </w:p>
        </w:tc>
        <w:tc>
          <w:tcPr>
            <w:tcW w:w="0" w:type="auto"/>
            <w:vAlign w:val="center"/>
            <w:hideMark/>
          </w:tcPr>
          <w:p w:rsidR="00000000" w:rsidRDefault="003C4C1B">
            <w:pPr>
              <w:rPr>
                <w:rFonts w:eastAsia="Times New Roman"/>
              </w:rPr>
            </w:pPr>
            <w:r>
              <w:rPr>
                <w:rFonts w:eastAsia="Times New Roman"/>
              </w:rPr>
              <w:t>Повторное сообщение</w:t>
            </w:r>
          </w:p>
        </w:tc>
        <w:tc>
          <w:tcPr>
            <w:tcW w:w="0" w:type="auto"/>
            <w:vAlign w:val="center"/>
            <w:hideMark/>
          </w:tcPr>
          <w:p w:rsidR="00000000" w:rsidRDefault="003C4C1B">
            <w:pPr>
              <w:rPr>
                <w:rFonts w:eastAsia="Times New Roman"/>
              </w:rPr>
            </w:pPr>
          </w:p>
        </w:tc>
      </w:tr>
      <w:tr w:rsidR="00000000">
        <w:trPr>
          <w:divId w:val="2123840389"/>
          <w:tblCellSpacing w:w="7" w:type="dxa"/>
        </w:trPr>
        <w:tc>
          <w:tcPr>
            <w:tcW w:w="0" w:type="auto"/>
            <w:vAlign w:val="center"/>
            <w:hideMark/>
          </w:tcPr>
          <w:p w:rsidR="00000000" w:rsidRDefault="003C4C1B">
            <w:pPr>
              <w:rPr>
                <w:rFonts w:eastAsia="Times New Roman"/>
              </w:rPr>
            </w:pPr>
            <w:r>
              <w:rPr>
                <w:rFonts w:eastAsia="Times New Roman"/>
              </w:rPr>
              <w:t>Предыдущее сообщение:</w:t>
            </w:r>
          </w:p>
        </w:tc>
        <w:tc>
          <w:tcPr>
            <w:tcW w:w="0" w:type="auto"/>
            <w:vAlign w:val="center"/>
            <w:hideMark/>
          </w:tcPr>
          <w:p w:rsidR="00000000" w:rsidRDefault="003C4C1B">
            <w:pPr>
              <w:rPr>
                <w:rFonts w:eastAsia="Times New Roman"/>
              </w:rPr>
            </w:pPr>
            <w:r>
              <w:rPr>
                <w:rFonts w:eastAsia="Times New Roman"/>
              </w:rPr>
              <w:t>№ 84122238</w:t>
            </w:r>
          </w:p>
        </w:tc>
        <w:tc>
          <w:tcPr>
            <w:tcW w:w="0" w:type="auto"/>
            <w:vAlign w:val="center"/>
            <w:hideMark/>
          </w:tcPr>
          <w:p w:rsidR="00000000" w:rsidRDefault="003C4C1B">
            <w:pPr>
              <w:rPr>
                <w:rFonts w:eastAsia="Times New Roman"/>
              </w:rPr>
            </w:pPr>
          </w:p>
        </w:tc>
      </w:tr>
      <w:tr w:rsidR="00000000">
        <w:trPr>
          <w:divId w:val="2123840389"/>
          <w:tblCellSpacing w:w="7" w:type="dxa"/>
        </w:trPr>
        <w:tc>
          <w:tcPr>
            <w:tcW w:w="0" w:type="auto"/>
            <w:vAlign w:val="center"/>
            <w:hideMark/>
          </w:tcPr>
          <w:p w:rsidR="00000000" w:rsidRDefault="003C4C1B">
            <w:pPr>
              <w:rPr>
                <w:rFonts w:eastAsia="Times New Roman"/>
              </w:rPr>
            </w:pPr>
            <w:r>
              <w:rPr>
                <w:rFonts w:eastAsia="Times New Roman"/>
              </w:rPr>
              <w:t>Отправитель сообщения:</w:t>
            </w:r>
          </w:p>
        </w:tc>
        <w:tc>
          <w:tcPr>
            <w:tcW w:w="0" w:type="auto"/>
            <w:vAlign w:val="center"/>
            <w:hideMark/>
          </w:tcPr>
          <w:p w:rsidR="00000000" w:rsidRDefault="003C4C1B">
            <w:pPr>
              <w:rPr>
                <w:rFonts w:eastAsia="Times New Roman"/>
              </w:rPr>
            </w:pPr>
            <w:r>
              <w:rPr>
                <w:rFonts w:eastAsia="Times New Roman"/>
              </w:rPr>
              <w:t>NDC000000000</w:t>
            </w:r>
          </w:p>
        </w:tc>
        <w:tc>
          <w:tcPr>
            <w:tcW w:w="0" w:type="auto"/>
            <w:vAlign w:val="center"/>
            <w:hideMark/>
          </w:tcPr>
          <w:p w:rsidR="00000000" w:rsidRDefault="003C4C1B">
            <w:pPr>
              <w:rPr>
                <w:rFonts w:eastAsia="Times New Roman"/>
              </w:rPr>
            </w:pPr>
            <w:r>
              <w:rPr>
                <w:rFonts w:eastAsia="Times New Roman"/>
              </w:rPr>
              <w:t>НКО АО НРД</w:t>
            </w:r>
          </w:p>
        </w:tc>
      </w:tr>
      <w:tr w:rsidR="00000000">
        <w:trPr>
          <w:divId w:val="2123840389"/>
          <w:tblCellSpacing w:w="7" w:type="dxa"/>
        </w:trPr>
        <w:tc>
          <w:tcPr>
            <w:tcW w:w="0" w:type="auto"/>
            <w:vAlign w:val="center"/>
            <w:hideMark/>
          </w:tcPr>
          <w:p w:rsidR="00000000" w:rsidRDefault="003C4C1B">
            <w:pPr>
              <w:rPr>
                <w:rFonts w:eastAsia="Times New Roman"/>
              </w:rPr>
            </w:pPr>
            <w:r>
              <w:rPr>
                <w:rFonts w:eastAsia="Times New Roman"/>
              </w:rPr>
              <w:t>Получатель сообщения:</w:t>
            </w:r>
          </w:p>
        </w:tc>
        <w:tc>
          <w:tcPr>
            <w:tcW w:w="0" w:type="auto"/>
            <w:vAlign w:val="center"/>
            <w:hideMark/>
          </w:tcPr>
          <w:p w:rsidR="00000000" w:rsidRDefault="003C4C1B">
            <w:pPr>
              <w:rPr>
                <w:rFonts w:eastAsia="Times New Roman"/>
              </w:rPr>
            </w:pPr>
            <w:r>
              <w:rPr>
                <w:rFonts w:eastAsia="Times New Roman"/>
              </w:rPr>
              <w:t>MC0083900000</w:t>
            </w:r>
          </w:p>
        </w:tc>
        <w:tc>
          <w:tcPr>
            <w:tcW w:w="0" w:type="auto"/>
            <w:vAlign w:val="center"/>
            <w:hideMark/>
          </w:tcPr>
          <w:p w:rsidR="00000000" w:rsidRDefault="003C4C1B">
            <w:pPr>
              <w:rPr>
                <w:rFonts w:eastAsia="Times New Roman"/>
              </w:rPr>
            </w:pPr>
            <w:r>
              <w:rPr>
                <w:rFonts w:eastAsia="Times New Roman"/>
              </w:rPr>
              <w:t>ООО ИК "ММК-Финанс"</w:t>
            </w:r>
          </w:p>
        </w:tc>
      </w:tr>
    </w:tbl>
    <w:p w:rsidR="00000000" w:rsidRDefault="003C4C1B">
      <w:pPr>
        <w:pStyle w:val="1"/>
        <w:rPr>
          <w:rFonts w:eastAsia="Times New Roman"/>
        </w:rPr>
      </w:pPr>
      <w:r>
        <w:rPr>
          <w:rFonts w:eastAsia="Times New Roman"/>
        </w:rPr>
        <w:t>(PRIO) О корпоративном действии "Преимущественное право приобретения ценных бумаг" с ценными бумагами эмитента ПАО "ОГК-2" ИНН 2607018122 (акция 1-02-65105-D / ISIN RU000A0JNG55)</w:t>
      </w:r>
    </w:p>
    <w:tbl>
      <w:tblPr>
        <w:tblW w:w="5000" w:type="pct"/>
        <w:tblCellSpacing w:w="7" w:type="dxa"/>
        <w:tblCellMar>
          <w:left w:w="0" w:type="dxa"/>
          <w:right w:w="0" w:type="dxa"/>
        </w:tblCellMar>
        <w:tblLook w:val="04A0" w:firstRow="1" w:lastRow="0" w:firstColumn="1" w:lastColumn="0" w:noHBand="0" w:noVBand="1"/>
      </w:tblPr>
      <w:tblGrid>
        <w:gridCol w:w="3684"/>
        <w:gridCol w:w="5671"/>
      </w:tblGrid>
      <w:tr w:rsidR="00000000">
        <w:trPr>
          <w:tblHeader/>
          <w:tblCellSpacing w:w="7" w:type="dxa"/>
        </w:trPr>
        <w:tc>
          <w:tcPr>
            <w:tcW w:w="0" w:type="auto"/>
            <w:gridSpan w:val="2"/>
            <w:shd w:val="clear" w:color="auto" w:fill="BBBBBB"/>
            <w:vAlign w:val="center"/>
            <w:hideMark/>
          </w:tcPr>
          <w:p w:rsidR="00000000" w:rsidRDefault="003C4C1B">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3C4C1B">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3C4C1B">
            <w:pPr>
              <w:wordWrap w:val="0"/>
              <w:rPr>
                <w:rFonts w:eastAsia="Times New Roman"/>
              </w:rPr>
            </w:pPr>
            <w:r>
              <w:rPr>
                <w:rFonts w:eastAsia="Times New Roman"/>
              </w:rPr>
              <w:t>853847</w:t>
            </w:r>
          </w:p>
        </w:tc>
      </w:tr>
      <w:tr w:rsidR="00000000">
        <w:trPr>
          <w:tblCellSpacing w:w="7" w:type="dxa"/>
        </w:trPr>
        <w:tc>
          <w:tcPr>
            <w:tcW w:w="0" w:type="auto"/>
            <w:shd w:val="clear" w:color="auto" w:fill="EEEEEE"/>
            <w:vAlign w:val="center"/>
            <w:hideMark/>
          </w:tcPr>
          <w:p w:rsidR="00000000" w:rsidRDefault="003C4C1B">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3C4C1B">
            <w:pPr>
              <w:wordWrap w:val="0"/>
              <w:rPr>
                <w:rFonts w:eastAsia="Times New Roman"/>
              </w:rPr>
            </w:pPr>
            <w:r>
              <w:rPr>
                <w:rFonts w:eastAsia="Times New Roman"/>
              </w:rPr>
              <w:t>PRIO</w:t>
            </w:r>
          </w:p>
        </w:tc>
      </w:tr>
      <w:tr w:rsidR="00000000">
        <w:trPr>
          <w:tblCellSpacing w:w="7" w:type="dxa"/>
        </w:trPr>
        <w:tc>
          <w:tcPr>
            <w:tcW w:w="0" w:type="auto"/>
            <w:shd w:val="clear" w:color="auto" w:fill="EEEEEE"/>
            <w:vAlign w:val="center"/>
            <w:hideMark/>
          </w:tcPr>
          <w:p w:rsidR="00000000" w:rsidRDefault="003C4C1B">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3C4C1B">
            <w:pPr>
              <w:wordWrap w:val="0"/>
              <w:rPr>
                <w:rFonts w:eastAsia="Times New Roman"/>
              </w:rPr>
            </w:pPr>
            <w:r>
              <w:rPr>
                <w:rFonts w:eastAsia="Times New Roman"/>
              </w:rPr>
              <w:t>Преимущественное право приобретения ценных бумаг</w:t>
            </w:r>
          </w:p>
        </w:tc>
      </w:tr>
      <w:tr w:rsidR="00000000">
        <w:trPr>
          <w:tblCellSpacing w:w="7" w:type="dxa"/>
        </w:trPr>
        <w:tc>
          <w:tcPr>
            <w:tcW w:w="0" w:type="auto"/>
            <w:shd w:val="clear" w:color="auto" w:fill="EEEEEE"/>
            <w:vAlign w:val="center"/>
            <w:hideMark/>
          </w:tcPr>
          <w:p w:rsidR="00000000" w:rsidRDefault="003C4C1B">
            <w:pPr>
              <w:rPr>
                <w:rFonts w:eastAsia="Times New Roman"/>
              </w:rPr>
            </w:pPr>
            <w:r>
              <w:rPr>
                <w:rFonts w:eastAsia="Times New Roman"/>
              </w:rPr>
              <w:t>Статус обработки</w:t>
            </w:r>
          </w:p>
        </w:tc>
        <w:tc>
          <w:tcPr>
            <w:tcW w:w="0" w:type="auto"/>
            <w:shd w:val="clear" w:color="auto" w:fill="EEEEEE"/>
            <w:vAlign w:val="center"/>
            <w:hideMark/>
          </w:tcPr>
          <w:p w:rsidR="00000000" w:rsidRDefault="003C4C1B">
            <w:pPr>
              <w:wordWrap w:val="0"/>
              <w:rPr>
                <w:rFonts w:eastAsia="Times New Roman"/>
              </w:rPr>
            </w:pPr>
            <w:r>
              <w:rPr>
                <w:rFonts w:eastAsia="Times New Roman"/>
              </w:rPr>
              <w:t>Предварительное объявление: подтверждено</w:t>
            </w:r>
          </w:p>
        </w:tc>
      </w:tr>
      <w:tr w:rsidR="00000000">
        <w:trPr>
          <w:tblCellSpacing w:w="7" w:type="dxa"/>
        </w:trPr>
        <w:tc>
          <w:tcPr>
            <w:tcW w:w="0" w:type="auto"/>
            <w:shd w:val="clear" w:color="auto" w:fill="EEEEEE"/>
            <w:vAlign w:val="center"/>
            <w:hideMark/>
          </w:tcPr>
          <w:p w:rsidR="00000000" w:rsidRDefault="003C4C1B">
            <w:pPr>
              <w:rPr>
                <w:rFonts w:eastAsia="Times New Roman"/>
              </w:rPr>
            </w:pPr>
            <w:r>
              <w:rPr>
                <w:rFonts w:eastAsia="Times New Roman"/>
              </w:rPr>
              <w:t>Дата фиксации</w:t>
            </w:r>
          </w:p>
        </w:tc>
        <w:tc>
          <w:tcPr>
            <w:tcW w:w="0" w:type="auto"/>
            <w:shd w:val="clear" w:color="auto" w:fill="EEEEEE"/>
            <w:vAlign w:val="center"/>
            <w:hideMark/>
          </w:tcPr>
          <w:p w:rsidR="00000000" w:rsidRDefault="003C4C1B">
            <w:pPr>
              <w:rPr>
                <w:rFonts w:eastAsia="Times New Roman"/>
              </w:rPr>
            </w:pPr>
            <w:r>
              <w:rPr>
                <w:rFonts w:eastAsia="Times New Roman"/>
              </w:rPr>
              <w:t>15 сентября 2023 г.</w:t>
            </w:r>
          </w:p>
        </w:tc>
      </w:tr>
      <w:tr w:rsidR="00000000">
        <w:trPr>
          <w:tblCellSpacing w:w="7" w:type="dxa"/>
        </w:trPr>
        <w:tc>
          <w:tcPr>
            <w:tcW w:w="0" w:type="auto"/>
            <w:shd w:val="clear" w:color="auto" w:fill="EEEEEE"/>
            <w:vAlign w:val="center"/>
            <w:hideMark/>
          </w:tcPr>
          <w:p w:rsidR="00000000" w:rsidRDefault="003C4C1B">
            <w:pPr>
              <w:rPr>
                <w:rFonts w:eastAsia="Times New Roman"/>
              </w:rPr>
            </w:pPr>
            <w:r>
              <w:rPr>
                <w:rFonts w:eastAsia="Times New Roman"/>
              </w:rPr>
              <w:t xml:space="preserve">Статья </w:t>
            </w:r>
          </w:p>
        </w:tc>
        <w:tc>
          <w:tcPr>
            <w:tcW w:w="0" w:type="auto"/>
            <w:shd w:val="clear" w:color="auto" w:fill="EEEEEE"/>
            <w:vAlign w:val="center"/>
            <w:hideMark/>
          </w:tcPr>
          <w:p w:rsidR="00000000" w:rsidRDefault="003C4C1B">
            <w:pPr>
              <w:wordWrap w:val="0"/>
              <w:rPr>
                <w:rFonts w:eastAsia="Times New Roman"/>
              </w:rPr>
            </w:pPr>
            <w:r>
              <w:rPr>
                <w:rFonts w:eastAsia="Times New Roman"/>
              </w:rPr>
              <w:t>40 ЗП</w:t>
            </w:r>
          </w:p>
        </w:tc>
      </w:tr>
    </w:tbl>
    <w:p w:rsidR="00000000" w:rsidRDefault="003C4C1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717"/>
        <w:gridCol w:w="1992"/>
        <w:gridCol w:w="1394"/>
        <w:gridCol w:w="1527"/>
        <w:gridCol w:w="1681"/>
        <w:gridCol w:w="1681"/>
        <w:gridCol w:w="2000"/>
      </w:tblGrid>
      <w:tr w:rsidR="00000000">
        <w:trPr>
          <w:tblHeader/>
          <w:tblCellSpacing w:w="7" w:type="dxa"/>
        </w:trPr>
        <w:tc>
          <w:tcPr>
            <w:tcW w:w="0" w:type="auto"/>
            <w:gridSpan w:val="8"/>
            <w:shd w:val="clear" w:color="auto" w:fill="BBBBBB"/>
            <w:vAlign w:val="center"/>
            <w:hideMark/>
          </w:tcPr>
          <w:p w:rsidR="00000000" w:rsidRDefault="003C4C1B">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3C4C1B">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3C4C1B">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3C4C1B">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3C4C1B">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3C4C1B">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3C4C1B">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3C4C1B">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3C4C1B">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3C4C1B">
            <w:pPr>
              <w:rPr>
                <w:rFonts w:eastAsia="Times New Roman"/>
              </w:rPr>
            </w:pPr>
            <w:r>
              <w:rPr>
                <w:rFonts w:eastAsia="Times New Roman"/>
              </w:rPr>
              <w:t>853847X8677</w:t>
            </w:r>
          </w:p>
        </w:tc>
        <w:tc>
          <w:tcPr>
            <w:tcW w:w="0" w:type="auto"/>
            <w:shd w:val="clear" w:color="auto" w:fill="EEEEEE"/>
            <w:vAlign w:val="center"/>
            <w:hideMark/>
          </w:tcPr>
          <w:p w:rsidR="00000000" w:rsidRDefault="003C4C1B">
            <w:pPr>
              <w:rPr>
                <w:rFonts w:eastAsia="Times New Roman"/>
              </w:rPr>
            </w:pPr>
            <w:r>
              <w:rPr>
                <w:rFonts w:eastAsia="Times New Roman"/>
              </w:rPr>
              <w:t>Публичное акционерное общество "Вторая генерирующая компания оптового рынка электроэнергии"</w:t>
            </w:r>
          </w:p>
        </w:tc>
        <w:tc>
          <w:tcPr>
            <w:tcW w:w="0" w:type="auto"/>
            <w:shd w:val="clear" w:color="auto" w:fill="EEEEEE"/>
            <w:vAlign w:val="center"/>
            <w:hideMark/>
          </w:tcPr>
          <w:p w:rsidR="00000000" w:rsidRDefault="003C4C1B">
            <w:pPr>
              <w:rPr>
                <w:rFonts w:eastAsia="Times New Roman"/>
              </w:rPr>
            </w:pPr>
            <w:r>
              <w:rPr>
                <w:rFonts w:eastAsia="Times New Roman"/>
              </w:rPr>
              <w:t>1-02-65105-D</w:t>
            </w:r>
          </w:p>
        </w:tc>
        <w:tc>
          <w:tcPr>
            <w:tcW w:w="0" w:type="auto"/>
            <w:shd w:val="clear" w:color="auto" w:fill="EEEEEE"/>
            <w:vAlign w:val="center"/>
            <w:hideMark/>
          </w:tcPr>
          <w:p w:rsidR="00000000" w:rsidRDefault="003C4C1B">
            <w:pPr>
              <w:rPr>
                <w:rFonts w:eastAsia="Times New Roman"/>
              </w:rPr>
            </w:pPr>
            <w:r>
              <w:rPr>
                <w:rFonts w:eastAsia="Times New Roman"/>
              </w:rPr>
              <w:t>19 апреля 2007 г.</w:t>
            </w:r>
          </w:p>
        </w:tc>
        <w:tc>
          <w:tcPr>
            <w:tcW w:w="0" w:type="auto"/>
            <w:shd w:val="clear" w:color="auto" w:fill="EEEEEE"/>
            <w:vAlign w:val="center"/>
            <w:hideMark/>
          </w:tcPr>
          <w:p w:rsidR="00000000" w:rsidRDefault="003C4C1B">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3C4C1B">
            <w:pPr>
              <w:rPr>
                <w:rFonts w:eastAsia="Times New Roman"/>
              </w:rPr>
            </w:pPr>
            <w:r>
              <w:rPr>
                <w:rFonts w:eastAsia="Times New Roman"/>
              </w:rPr>
              <w:t>RU000A0JNG55</w:t>
            </w:r>
          </w:p>
        </w:tc>
        <w:tc>
          <w:tcPr>
            <w:tcW w:w="0" w:type="auto"/>
            <w:shd w:val="clear" w:color="auto" w:fill="EEEEEE"/>
            <w:vAlign w:val="center"/>
            <w:hideMark/>
          </w:tcPr>
          <w:p w:rsidR="00000000" w:rsidRDefault="003C4C1B">
            <w:pPr>
              <w:rPr>
                <w:rFonts w:eastAsia="Times New Roman"/>
              </w:rPr>
            </w:pPr>
            <w:r>
              <w:rPr>
                <w:rFonts w:eastAsia="Times New Roman"/>
              </w:rPr>
              <w:t>RU000A0JNG55</w:t>
            </w:r>
          </w:p>
        </w:tc>
        <w:tc>
          <w:tcPr>
            <w:tcW w:w="0" w:type="auto"/>
            <w:shd w:val="clear" w:color="auto" w:fill="EEEEEE"/>
            <w:vAlign w:val="center"/>
            <w:hideMark/>
          </w:tcPr>
          <w:p w:rsidR="00000000" w:rsidRDefault="003C4C1B">
            <w:pPr>
              <w:rPr>
                <w:rFonts w:eastAsia="Times New Roman"/>
              </w:rPr>
            </w:pPr>
            <w:r>
              <w:rPr>
                <w:rFonts w:eastAsia="Times New Roman"/>
              </w:rPr>
              <w:t>АО "ДРАГА"</w:t>
            </w:r>
          </w:p>
        </w:tc>
      </w:tr>
    </w:tbl>
    <w:p w:rsidR="00000000" w:rsidRDefault="003C4C1B">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6527"/>
        <w:gridCol w:w="2828"/>
      </w:tblGrid>
      <w:tr w:rsidR="00000000">
        <w:trPr>
          <w:tblHeader/>
          <w:tblCellSpacing w:w="7" w:type="dxa"/>
        </w:trPr>
        <w:tc>
          <w:tcPr>
            <w:tcW w:w="0" w:type="auto"/>
            <w:gridSpan w:val="2"/>
            <w:shd w:val="clear" w:color="auto" w:fill="BBBBBB"/>
            <w:vAlign w:val="center"/>
            <w:hideMark/>
          </w:tcPr>
          <w:p w:rsidR="00000000" w:rsidRDefault="003C4C1B">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0" w:type="auto"/>
            <w:shd w:val="clear" w:color="auto" w:fill="EEEEEE"/>
            <w:vAlign w:val="center"/>
            <w:hideMark/>
          </w:tcPr>
          <w:p w:rsidR="00000000" w:rsidRDefault="003C4C1B">
            <w:pPr>
              <w:rPr>
                <w:rFonts w:eastAsia="Times New Roman"/>
              </w:rPr>
            </w:pPr>
            <w:r>
              <w:rPr>
                <w:rFonts w:eastAsia="Times New Roman"/>
              </w:rPr>
              <w:t>Дата принятия решения советом директоров</w:t>
            </w:r>
          </w:p>
        </w:tc>
        <w:tc>
          <w:tcPr>
            <w:tcW w:w="0" w:type="auto"/>
            <w:shd w:val="clear" w:color="auto" w:fill="EEEEEE"/>
            <w:vAlign w:val="center"/>
            <w:hideMark/>
          </w:tcPr>
          <w:p w:rsidR="00000000" w:rsidRDefault="003C4C1B">
            <w:pPr>
              <w:wordWrap w:val="0"/>
              <w:rPr>
                <w:rFonts w:eastAsia="Times New Roman"/>
              </w:rPr>
            </w:pPr>
            <w:r>
              <w:rPr>
                <w:rFonts w:eastAsia="Times New Roman"/>
              </w:rPr>
              <w:t>04 сентября 2023 г.</w:t>
            </w:r>
          </w:p>
        </w:tc>
      </w:tr>
    </w:tbl>
    <w:p w:rsidR="00000000" w:rsidRDefault="003C4C1B">
      <w:pPr>
        <w:rPr>
          <w:rFonts w:eastAsia="Times New Roman"/>
        </w:rPr>
      </w:pPr>
    </w:p>
    <w:p w:rsidR="00000000" w:rsidRDefault="003C4C1B">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w:t>
      </w:r>
      <w:r>
        <w:t xml:space="preserve">ми центральному депозитарию, порядке и сроках ее </w:t>
      </w:r>
      <w:r>
        <w:lastRenderedPageBreak/>
        <w:t>предоставления, а также о требованиях к порядку предоставления центральным депозитарием доступа к такой информации"</w:t>
      </w:r>
    </w:p>
    <w:p w:rsidR="00000000" w:rsidRDefault="003C4C1B">
      <w:pPr>
        <w:pStyle w:val="a3"/>
      </w:pPr>
      <w:r>
        <w:t>5.4 Информация о регистрации выпуска (дополнительного выпуска) акций и ценных бумаг, конвер</w:t>
      </w:r>
      <w:r>
        <w:t xml:space="preserve">тируемых в акции, в отношении которых возникает преимущественное право их приобретения </w:t>
      </w:r>
    </w:p>
    <w:p w:rsidR="00000000" w:rsidRDefault="003C4C1B">
      <w:pPr>
        <w:pStyle w:val="a3"/>
      </w:pPr>
      <w:r>
        <w:t xml:space="preserve">Полная формулировка принятого решения о размещении ценных бумаг: Увеличить уставный капитал ПАО «ОГК-2» путем размещения дополнительных обыкновенных акций в количестве </w:t>
      </w:r>
      <w:r>
        <w:t>48 283 938 719 (сорок восемь миллиардов двести восемьдесят три миллиона девятьсот тридцать восемь тысяч семьсот девятнадцать) штук, номинальной стоимостью 0,3627 (Ноль целых три тысячи шестьсот двадцать семь десятитысячных) рубля каждая на общую сумму по н</w:t>
      </w:r>
      <w:r>
        <w:t>оминальной стоимости 17 512 584 573,3813 (семнадцать миллиардов пятьсот двенадцать миллионов пятьсот восемьдесят четыре тысячи пятьсот семьдесят три целых три тысячи восемьсот тринадцать десятитысячных) рубля. Способ размещения дополнительных акций: закрыт</w:t>
      </w:r>
      <w:r>
        <w:t>ая подписка. Круг лиц, среди которых предполагается осуществить размещение акций: ООО «ГЭХ Инжиниринг». Порядок определения цены размещения дополнительных акций: Цена/порядок определения цены размещения дополнительных акций (в том числе лицам, включенным в</w:t>
      </w:r>
      <w:r>
        <w:t xml:space="preserve"> список лиц, имеющих преимущественное право приобретения размещаемых дополнительных акций) устанавливается Советом директоров ПАО «ОГК-2» в соответствии со статьями 36, 77 Федерального закона «Об акционерных обществах» не позднее начала размещения дополнит</w:t>
      </w:r>
      <w:r>
        <w:t>ельных акций. Форма оплаты размещаемых дополнительных акций: дополнительные акции ПАО «ОГК-2» оплачиваются денежными средствами в рублях Российской Федерации либо путем зачета денежных требований к ПАО «ОГК-2».</w:t>
      </w:r>
    </w:p>
    <w:p w:rsidR="00000000" w:rsidRDefault="003C4C1B">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3C4C1B">
      <w:pPr>
        <w:pStyle w:val="HTML"/>
      </w:pPr>
      <w:r>
        <w:t>По всем вопросам, свя</w:t>
      </w:r>
      <w:r>
        <w:t>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3C4C1B">
      <w:pPr>
        <w:rPr>
          <w:rFonts w:eastAsia="Times New Roman"/>
        </w:rPr>
      </w:pPr>
      <w:r>
        <w:rPr>
          <w:rFonts w:eastAsia="Times New Roman"/>
        </w:rPr>
        <w:br/>
      </w:r>
    </w:p>
    <w:p w:rsidR="003C4C1B" w:rsidRDefault="003C4C1B">
      <w:pPr>
        <w:pStyle w:val="HTML"/>
      </w:pPr>
      <w:r>
        <w:t>Настоящий документ является визуализиров</w:t>
      </w:r>
      <w:r>
        <w:t>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3C4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E0BAE"/>
    <w:rsid w:val="003C4C1B"/>
    <w:rsid w:val="00FE0BAE"/>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34D881-8798-4663-8CD2-3704E059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8403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f5d30a968e44c08b122ec0656ed07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2024-03-18T04:59:00Z</dcterms:created>
  <dcterms:modified xsi:type="dcterms:W3CDTF">2024-03-18T04:59:00Z</dcterms:modified>
</cp:coreProperties>
</file>