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2E79">
      <w:pPr>
        <w:pStyle w:val="a3"/>
        <w:divId w:val="168797485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87974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99030030</w:t>
            </w:r>
          </w:p>
        </w:tc>
        <w:tc>
          <w:tcPr>
            <w:tcW w:w="0" w:type="auto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</w:p>
        </w:tc>
      </w:tr>
      <w:tr w:rsidR="00000000">
        <w:trPr>
          <w:divId w:val="1687974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</w:p>
        </w:tc>
      </w:tr>
      <w:tr w:rsidR="00000000">
        <w:trPr>
          <w:divId w:val="1687974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98971898</w:t>
            </w:r>
          </w:p>
        </w:tc>
        <w:tc>
          <w:tcPr>
            <w:tcW w:w="0" w:type="auto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</w:p>
        </w:tc>
      </w:tr>
      <w:tr w:rsidR="00000000">
        <w:trPr>
          <w:divId w:val="1687974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7974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2E7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"ЯНДЕКС" ИНН 3900019850 (акции 1-01-16777-A / ISIN RU000A107T19, 2-01-16777-A / ISIN RU000A107T43, 2-02-16777-A / ISIN RU000A107T50)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2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</w:t>
            </w:r>
            <w:r>
              <w:rPr>
                <w:rFonts w:eastAsia="Times New Roman"/>
                <w:b/>
                <w:bCs/>
              </w:rPr>
              <w:t>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950672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82E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2071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82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2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2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2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2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2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2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2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2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950672X80113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950672X80114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950672X80115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Международная компания публичное акционерное </w:t>
            </w:r>
            <w:r>
              <w:rPr>
                <w:rFonts w:eastAsia="Times New Roman"/>
              </w:rPr>
              <w:lastRenderedPageBreak/>
              <w:t>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82E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2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2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2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950710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</w:p>
        </w:tc>
      </w:tr>
    </w:tbl>
    <w:p w:rsidR="00000000" w:rsidRDefault="00F82E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6"/>
        <w:gridCol w:w="2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2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2E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</w:t>
            </w:r>
            <w:r>
              <w:rPr>
                <w:rFonts w:eastAsia="Times New Roman"/>
              </w:rPr>
              <w:t>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F82E79">
      <w:pPr>
        <w:rPr>
          <w:rFonts w:eastAsia="Times New Roman"/>
        </w:rPr>
      </w:pPr>
    </w:p>
    <w:p w:rsidR="00000000" w:rsidRDefault="00F82E7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82E79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первого полугодия 2024 года.</w:t>
      </w:r>
      <w:r>
        <w:rPr>
          <w:rFonts w:eastAsia="Times New Roman"/>
        </w:rPr>
        <w:br/>
        <w:t>2. О передаче Совету директоров полномочий по принятию решения об увеличении уставного капитала путем</w:t>
      </w:r>
      <w:r>
        <w:rPr>
          <w:rFonts w:eastAsia="Times New Roman"/>
        </w:rPr>
        <w:t xml:space="preserve"> размещения дополнительных обыкновенных акций или привилегированных акций, номинальная стоимость которых составляет не более 20% (двадцати процентов) номинальной стоимости размещенных акций Общества, на срок 4 года, для целей реализации Обществом Программы</w:t>
      </w:r>
      <w:r>
        <w:rPr>
          <w:rFonts w:eastAsia="Times New Roman"/>
        </w:rPr>
        <w:t xml:space="preserve"> долгосрочной мотивации, основанной на обыкновенных акциях Общества.</w:t>
      </w:r>
      <w:r>
        <w:rPr>
          <w:rFonts w:eastAsia="Times New Roman"/>
        </w:rPr>
        <w:t xml:space="preserve"> </w:t>
      </w:r>
    </w:p>
    <w:p w:rsidR="00000000" w:rsidRDefault="00F82E7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</w:t>
      </w:r>
      <w:r>
        <w:t>ccount  manager (495) 956-27-90, (495) 956-27-91</w:t>
      </w:r>
    </w:p>
    <w:p w:rsidR="00000000" w:rsidRDefault="00F82E79">
      <w:pPr>
        <w:rPr>
          <w:rFonts w:eastAsia="Times New Roman"/>
        </w:rPr>
      </w:pPr>
      <w:r>
        <w:rPr>
          <w:rFonts w:eastAsia="Times New Roman"/>
        </w:rPr>
        <w:br/>
      </w:r>
    </w:p>
    <w:p w:rsidR="00F82E79" w:rsidRDefault="00F82E7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8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13F3"/>
    <w:rsid w:val="002913F3"/>
    <w:rsid w:val="00F8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CB255D-B9FF-4B3E-BCCB-E63A5B15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2024-08-12T11:52:00Z</dcterms:created>
  <dcterms:modified xsi:type="dcterms:W3CDTF">2024-08-12T11:52:00Z</dcterms:modified>
</cp:coreProperties>
</file>