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5459A">
      <w:pPr>
        <w:pStyle w:val="a3"/>
        <w:divId w:val="2127769856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127769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24121094</w:t>
            </w:r>
          </w:p>
        </w:tc>
        <w:tc>
          <w:tcPr>
            <w:tcW w:w="0" w:type="auto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</w:p>
        </w:tc>
      </w:tr>
      <w:tr w:rsidR="00000000">
        <w:trPr>
          <w:divId w:val="2127769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</w:p>
        </w:tc>
      </w:tr>
      <w:tr w:rsidR="00000000">
        <w:trPr>
          <w:divId w:val="2127769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21601930</w:t>
            </w:r>
          </w:p>
        </w:tc>
        <w:tc>
          <w:tcPr>
            <w:tcW w:w="0" w:type="auto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</w:p>
        </w:tc>
      </w:tr>
      <w:tr w:rsidR="00000000">
        <w:trPr>
          <w:divId w:val="2127769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12776985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5459A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прошедшем корпоративном действии "Выплата купонного дохода" с ценными бумагами эмитента ПАО "Газпром нефть" ИНН 5504036333 (облигация 4-10-00146-A/RU000A0JR878)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</w:t>
            </w:r>
            <w:r>
              <w:rPr>
                <w:rFonts w:eastAsia="Times New Roman"/>
              </w:rPr>
              <w:t xml:space="preserve">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67957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2017 г.</w:t>
            </w:r>
          </w:p>
        </w:tc>
      </w:tr>
    </w:tbl>
    <w:p w:rsidR="00000000" w:rsidRDefault="00F545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5"/>
        <w:gridCol w:w="1276"/>
        <w:gridCol w:w="1276"/>
        <w:gridCol w:w="809"/>
        <w:gridCol w:w="1121"/>
        <w:gridCol w:w="1121"/>
        <w:gridCol w:w="1063"/>
        <w:gridCol w:w="1029"/>
        <w:gridCol w:w="763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54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4-10-00146-A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августа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RU000A0JR878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RU000A0JR878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545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53"/>
        <w:gridCol w:w="29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44.38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5459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54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5459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5459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265223</w:t>
            </w:r>
          </w:p>
        </w:tc>
      </w:tr>
    </w:tbl>
    <w:p w:rsidR="00000000" w:rsidRDefault="00F5459A">
      <w:pPr>
        <w:rPr>
          <w:rFonts w:eastAsia="Times New Roman"/>
        </w:rPr>
      </w:pPr>
    </w:p>
    <w:p w:rsidR="00000000" w:rsidRDefault="00F5459A">
      <w:pPr>
        <w:pStyle w:val="a3"/>
      </w:pPr>
      <w:r>
        <w:t xml:space="preserve">Настоящим сообщаем о получении НКО АО НРД информации, раскрываемой эмитентом ценных бумаг в соответствии с Положением ЦБ РФ </w:t>
      </w:r>
      <w:r>
        <w:t>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информации".</w:t>
      </w:r>
      <w:r>
        <w:br/>
      </w:r>
      <w:r>
        <w:br/>
        <w:t>12.2. О намерении исполнить обязанность по погашению облигаций, частичному погашению облигаций и (или) выплате процентного (купонного) дохода по облигациям.</w:t>
      </w:r>
      <w:r>
        <w:br/>
      </w:r>
      <w:r>
        <w:br/>
        <w:t>12.4. О направлении денежных средств, подлежащих выплате влад</w:t>
      </w:r>
      <w:r>
        <w:t xml:space="preserve">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F5459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</w:t>
        </w:r>
        <w:r>
          <w:rPr>
            <w:rStyle w:val="a4"/>
          </w:rPr>
          <w:t>в сети Интернет, по которому можно ознакомиться с дополнительной документацией</w:t>
        </w:r>
      </w:hyperlink>
    </w:p>
    <w:p w:rsidR="00F5459A" w:rsidRDefault="00F5459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t>ct your account  manager (495) 956-27-90, (495) 956-27-91</w:t>
      </w:r>
    </w:p>
    <w:sectPr w:rsidR="00F54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50"/>
  <w:defaultTabStop w:val="708"/>
  <w:noPunctuationKerning/>
  <w:characterSpacingControl w:val="doNotCompress"/>
  <w:compat/>
  <w:rsids>
    <w:rsidRoot w:val="003E3069"/>
    <w:rsid w:val="003E3069"/>
    <w:rsid w:val="00BB2472"/>
    <w:rsid w:val="00F5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76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5b3b60570bc4fa5abb9e22d24118b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2017-08-02T11:36:00Z</dcterms:created>
  <dcterms:modified xsi:type="dcterms:W3CDTF">2017-08-02T11:36:00Z</dcterms:modified>
</cp:coreProperties>
</file>