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D8D">
      <w:pPr>
        <w:pStyle w:val="a3"/>
        <w:divId w:val="16041924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04192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102070223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</w:p>
        </w:tc>
      </w:tr>
      <w:tr w:rsidR="00000000">
        <w:trPr>
          <w:divId w:val="1604192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</w:p>
        </w:tc>
      </w:tr>
      <w:tr w:rsidR="00000000">
        <w:trPr>
          <w:divId w:val="1604192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41924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D8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7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981058X43844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7D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D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</w:t>
            </w:r>
            <w:r>
              <w:rPr>
                <w:rFonts w:eastAsia="Times New Roman"/>
              </w:rPr>
              <w:t>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D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8B7D8D">
      <w:pPr>
        <w:rPr>
          <w:rFonts w:eastAsia="Times New Roman"/>
        </w:rPr>
      </w:pPr>
    </w:p>
    <w:p w:rsidR="00000000" w:rsidRDefault="008B7D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7D8D">
      <w:pPr>
        <w:rPr>
          <w:rFonts w:eastAsia="Times New Roman"/>
        </w:rPr>
      </w:pPr>
      <w:r>
        <w:rPr>
          <w:rFonts w:eastAsia="Times New Roman"/>
        </w:rPr>
        <w:t xml:space="preserve">1. Назначение аудиторской организации ПАО «ГК «Самолет». </w:t>
      </w:r>
    </w:p>
    <w:p w:rsidR="00000000" w:rsidRDefault="008B7D8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>депозитарием доступа к такой информации"</w:t>
      </w:r>
    </w:p>
    <w:p w:rsidR="00000000" w:rsidRDefault="008B7D8D">
      <w:pPr>
        <w:pStyle w:val="a3"/>
      </w:pPr>
      <w:r>
        <w:t>4.2 Информация о созыве общего собрания акционеров эмитента</w:t>
      </w:r>
    </w:p>
    <w:p w:rsidR="00000000" w:rsidRDefault="008B7D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B7D8D">
      <w:pPr>
        <w:rPr>
          <w:rFonts w:eastAsia="Times New Roman"/>
        </w:rPr>
      </w:pPr>
      <w:r>
        <w:rPr>
          <w:rFonts w:eastAsia="Times New Roman"/>
        </w:rPr>
        <w:br/>
      </w:r>
    </w:p>
    <w:p w:rsidR="008B7D8D" w:rsidRDefault="008B7D8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6975"/>
    <w:rsid w:val="00756975"/>
    <w:rsid w:val="008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277F0-B59C-409A-B37E-1C345E5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2024-11-18T04:56:00Z</dcterms:created>
  <dcterms:modified xsi:type="dcterms:W3CDTF">2024-11-18T04:56:00Z</dcterms:modified>
</cp:coreProperties>
</file>