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5B4">
      <w:pPr>
        <w:pStyle w:val="a3"/>
        <w:divId w:val="5531536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5315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24909437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</w:p>
        </w:tc>
      </w:tr>
      <w:tr w:rsidR="00000000">
        <w:trPr>
          <w:divId w:val="55315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</w:p>
        </w:tc>
      </w:tr>
      <w:tr w:rsidR="00000000">
        <w:trPr>
          <w:divId w:val="55315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315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5B4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Установка процентной ставки по купонам"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62"/>
        <w:gridCol w:w="6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Установка процентной ставки по купонам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</w:tbl>
    <w:p w:rsidR="00000000" w:rsidRDefault="00E07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310255X19858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07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33"/>
        <w:gridCol w:w="1033"/>
        <w:gridCol w:w="1256"/>
        <w:gridCol w:w="1778"/>
        <w:gridCol w:w="2216"/>
        <w:gridCol w:w="1114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Выплаты купонного дохода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купона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купонного дохода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 годовых)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выплаты купонного дохода на 1 ц.б в валюте плат.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5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E075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5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5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5B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0.50000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0.50000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07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108648</w:t>
            </w:r>
          </w:p>
        </w:tc>
      </w:tr>
    </w:tbl>
    <w:p w:rsidR="00000000" w:rsidRDefault="00E075B4">
      <w:pPr>
        <w:rPr>
          <w:rFonts w:eastAsia="Times New Roman"/>
        </w:rPr>
      </w:pPr>
    </w:p>
    <w:p w:rsidR="00000000" w:rsidRDefault="00E075B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</w:r>
      <w:r>
        <w:br/>
        <w:t>15.18. Информация эмитента об определении размера процента (купо</w:t>
      </w:r>
      <w:r>
        <w:t xml:space="preserve">на) по облигациям (INTR, CHAN) </w:t>
      </w:r>
    </w:p>
    <w:p w:rsidR="00000000" w:rsidRDefault="00E075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75B4" w:rsidRDefault="00E075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0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403FB"/>
    <w:rsid w:val="003403FB"/>
    <w:rsid w:val="00E0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43a40a30f541069a6a84523503cc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2017-10-04T06:43:00Z</dcterms:created>
  <dcterms:modified xsi:type="dcterms:W3CDTF">2017-10-04T06:43:00Z</dcterms:modified>
</cp:coreProperties>
</file>