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3FB0">
      <w:pPr>
        <w:pStyle w:val="a3"/>
        <w:divId w:val="17355476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55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96066595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</w:p>
        </w:tc>
      </w:tr>
      <w:tr w:rsidR="00000000">
        <w:trPr>
          <w:divId w:val="17355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</w:p>
        </w:tc>
      </w:tr>
      <w:tr w:rsidR="00000000">
        <w:trPr>
          <w:divId w:val="17355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5547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3FB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3F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83F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</w:p>
        </w:tc>
      </w:tr>
    </w:tbl>
    <w:p w:rsidR="00000000" w:rsidRDefault="00983F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F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</w:t>
            </w:r>
            <w:r>
              <w:rPr>
                <w:rFonts w:eastAsia="Times New Roman"/>
              </w:rPr>
              <w:t>гро»,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83FB0">
      <w:pPr>
        <w:rPr>
          <w:rFonts w:eastAsia="Times New Roman"/>
        </w:rPr>
      </w:pPr>
    </w:p>
    <w:p w:rsidR="00000000" w:rsidRDefault="00983F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3FB0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2.Утверждение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3.Распределение прибыли (в том числе выплата (объявление) дивидендов) и убытков Общества по результатам 2023 года </w:t>
      </w:r>
      <w:r>
        <w:rPr>
          <w:rFonts w:eastAsia="Times New Roman"/>
        </w:rPr>
        <w:br/>
        <w:t xml:space="preserve">4.О выплате (объявлении) дивидендов по акциям Общества по </w:t>
      </w:r>
      <w:r>
        <w:rPr>
          <w:rFonts w:eastAsia="Times New Roman"/>
        </w:rPr>
        <w:t xml:space="preserve">результатам первого квартала 2024 года </w:t>
      </w:r>
      <w:r>
        <w:rPr>
          <w:rFonts w:eastAsia="Times New Roman"/>
        </w:rPr>
        <w:br/>
        <w:t xml:space="preserve">5.Избрание членов совета директоров Общества </w:t>
      </w:r>
      <w:r>
        <w:rPr>
          <w:rFonts w:eastAsia="Times New Roman"/>
        </w:rPr>
        <w:br/>
        <w:t xml:space="preserve">6.О выплате членам совета директоров Общества вознаграждений и компенсаций </w:t>
      </w:r>
      <w:r>
        <w:rPr>
          <w:rFonts w:eastAsia="Times New Roman"/>
        </w:rPr>
        <w:br/>
        <w:t xml:space="preserve">7.Избрание членов ревизионной комиссии Общества. </w:t>
      </w:r>
      <w:r>
        <w:rPr>
          <w:rFonts w:eastAsia="Times New Roman"/>
        </w:rPr>
        <w:br/>
        <w:t xml:space="preserve">8.Утверждение аудитора Общества на 2024 год </w:t>
      </w:r>
    </w:p>
    <w:p w:rsidR="00000000" w:rsidRDefault="00983F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83FB0">
      <w:pPr>
        <w:pStyle w:val="a3"/>
      </w:pPr>
      <w:r>
        <w:t>4.2 Информация о созыве общего собрания акционеров эмитента</w:t>
      </w:r>
    </w:p>
    <w:p w:rsidR="00000000" w:rsidRDefault="00983FB0">
      <w:pPr>
        <w:pStyle w:val="a3"/>
      </w:pPr>
      <w:r>
        <w:t>акции обыкновенные именные без</w:t>
      </w:r>
      <w:r>
        <w:t>документарные, регистрационный номер выпуска 1-02-06556-А от 14.02.2012 г., международный код (номер) идентификации ценных бумаг (ISIN) RU000A0JRKT8, международный код классификации финансовых инструментов (CFI): ESVXFR</w:t>
      </w:r>
    </w:p>
    <w:p w:rsidR="00000000" w:rsidRDefault="00983FB0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83FB0">
      <w:pPr>
        <w:rPr>
          <w:rFonts w:eastAsia="Times New Roman"/>
        </w:rPr>
      </w:pPr>
      <w:r>
        <w:rPr>
          <w:rFonts w:eastAsia="Times New Roman"/>
        </w:rPr>
        <w:br/>
      </w:r>
    </w:p>
    <w:p w:rsidR="00983FB0" w:rsidRDefault="00983FB0">
      <w:pPr>
        <w:pStyle w:val="HTML"/>
      </w:pPr>
      <w:r>
        <w:lastRenderedPageBreak/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4405"/>
    <w:rsid w:val="00983FB0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D987D-CF8E-44B4-B86C-3D3C661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2024-05-30T04:53:00Z</dcterms:created>
  <dcterms:modified xsi:type="dcterms:W3CDTF">2024-05-30T04:53:00Z</dcterms:modified>
</cp:coreProperties>
</file>