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009FB">
      <w:pPr>
        <w:pStyle w:val="a3"/>
        <w:divId w:val="1160544002"/>
      </w:pPr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16054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22579796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</w:p>
        </w:tc>
      </w:tr>
      <w:tr w:rsidR="00000000">
        <w:trPr>
          <w:divId w:val="116054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</w:p>
        </w:tc>
      </w:tr>
      <w:tr w:rsidR="00000000">
        <w:trPr>
          <w:divId w:val="116054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05440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009FB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"Распадская" ИНН 4214002316 (акции 1-04-21725-N/RU000A0B90N8), ПАО "Распадская" ИНН 4214002316 (акции 1-04-21725-N/RU000A0B90N8)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39"/>
        <w:gridCol w:w="62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277912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мая 2017 г. 11:00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Российская Федерация, Кемеровская область, г. Междуреченск, ул. Мира,</w:t>
            </w:r>
            <w:r>
              <w:rPr>
                <w:rFonts w:eastAsia="Times New Roman"/>
              </w:rPr>
              <w:br/>
              <w:t>106, кабинет № 301 (зал совещаний), 3 этаж административного здания ПА</w:t>
            </w:r>
            <w:r>
              <w:rPr>
                <w:rFonts w:eastAsia="Times New Roman"/>
              </w:rPr>
              <w:br/>
              <w:t>О «Распадская»</w:t>
            </w:r>
          </w:p>
        </w:tc>
      </w:tr>
    </w:tbl>
    <w:p w:rsidR="00000000" w:rsidRDefault="00100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40"/>
        <w:gridCol w:w="839"/>
        <w:gridCol w:w="1138"/>
        <w:gridCol w:w="1138"/>
        <w:gridCol w:w="945"/>
        <w:gridCol w:w="1048"/>
        <w:gridCol w:w="1048"/>
        <w:gridCol w:w="1232"/>
        <w:gridCol w:w="1055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277912X7948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277912X12181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"Распадская"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1-04-21725-N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18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10000000000000</w:t>
            </w:r>
          </w:p>
        </w:tc>
      </w:tr>
    </w:tbl>
    <w:p w:rsidR="00000000" w:rsidRDefault="00100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01"/>
        <w:gridCol w:w="428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15 мая 2017 г. 23:59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2017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652870, Российская Федерация, Кемеровская область, г. Междуреч</w:t>
            </w:r>
            <w:r>
              <w:rPr>
                <w:rFonts w:eastAsia="Times New Roman"/>
              </w:rPr>
              <w:t>енск, ул</w:t>
            </w:r>
            <w:r>
              <w:rPr>
                <w:rFonts w:eastAsia="Times New Roman"/>
              </w:rPr>
              <w:br/>
              <w:t>. Мира, 106, Административное здание ПАО "Распадская", отдел документа</w:t>
            </w:r>
            <w:r>
              <w:rPr>
                <w:rFonts w:eastAsia="Times New Roman"/>
              </w:rPr>
              <w:br/>
              <w:t>ционного обеспечения (кабинет № 312), либо передать лично 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1009F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2138"/>
        <w:gridCol w:w="721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 Утверждение годового отчета, годовой бухгалтерской (финансовой) отчетности ПАО «Распадская» за 2016 год.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ПАО «Расп</w:t>
            </w:r>
            <w:r>
              <w:rPr>
                <w:rFonts w:eastAsia="Times New Roman"/>
              </w:rPr>
              <w:t xml:space="preserve">адская» по результатам 2016 года, составленную в соответствии с требованиями законодательства Российской Федерации. 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 Распределение прибыли (в том числе выплата (объявление) дивидендов) и убытков ПАО "Распадская" по результатам 2016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Чистую прибыль по результатам 2016 года в размере 12 957 474 741 </w:t>
            </w:r>
            <w:r>
              <w:rPr>
                <w:rFonts w:eastAsia="Times New Roman"/>
              </w:rPr>
              <w:t>(двенадцать миллиардов девятьсот пятьдесят семь миллионов четыреста семьдесят четыре тысячи семьсот сорок один рубль) 32 копейки распределить следующим образом: - часть чистой прибыли ПАО «Распадская» по результатам 2016 года в размере 6 752 470 875 (Шесть</w:t>
            </w:r>
            <w:r>
              <w:rPr>
                <w:rFonts w:eastAsia="Times New Roman"/>
              </w:rPr>
              <w:t xml:space="preserve"> миллиардов семьсот пятьдесят два миллиона четыреста семьдесят тысяч восемьсот семьдесят пять) рублей 57 копеек направить на погашение убытка прошлых лет; - оставшуюся часть прибыли в размере 6 205 003 865 (Шесть миллиардов двести пять миллионов три тысячи</w:t>
            </w:r>
            <w:r>
              <w:rPr>
                <w:rFonts w:eastAsia="Times New Roman"/>
              </w:rPr>
              <w:t xml:space="preserve"> восемьсот шестьдесят пять) рублей 75 копеек не распределять. Дивиденды по размещенным обыкновенным акциям ПАО «Распадская» по результатам 2016 отчетного года не объявлять и не выплачивать. 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 Избрание Ревизора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Ревизором ПАО «Распадская» Гордееву Елену Васильевну.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 Утверждение аудитора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Общество с ограниченной ответственностью «Финансовые и бухгалтерские консультанты» (ОГРН 1027700058286; ИНН: 7701017140) аудитором ПАО «Распадская» по аудиту годовой бухгалтерской (финансовой) отчетности Общества по российским стандартам (полож</w:t>
            </w:r>
            <w:r>
              <w:rPr>
                <w:rFonts w:eastAsia="Times New Roman"/>
              </w:rPr>
              <w:t>ениям) бухгалтерского учета за 2017 год. Утвердить аудитором консолидированной финансовой отчетности ПАО «Распадская» и его дочерних обществ за 2017 год, подготовленную в соответствии с МСФО и Федеральным законом от 27.07.2010 г. № 208-ФЗ (со всеми изменен</w:t>
            </w:r>
            <w:r>
              <w:rPr>
                <w:rFonts w:eastAsia="Times New Roman"/>
              </w:rPr>
              <w:t xml:space="preserve">иями) "О консолидированной финансовой отчетности", Общество с ограниченной ответственностью «Эрнст энд Янг» (ОГРН 1027739707203; ИНН 7709383532). 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 Определение количественного состава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Определить состав Совета директоров ПАО «Распадская» в количестве 9 (девяти) человек.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16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 Избрание членов Совета директоров ПАО «Распадская».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Совет директоров Общества в количестве 9 (девять) человек в следующем составе: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6.1.1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Алексей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6.1.2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Иванов Николай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6.1.3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Кузнецов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6.1.4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Лифшиц Илья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6.1.5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Покровская Ольга Александровна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6.1.6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Робинсон Терри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6.1.7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Степанов Сергей Станиславович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6.1.8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Стойлл Эрик Хью Джон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009FB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6.1.9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Фролов Александр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RU000A0B90N8#RU#1-04-21725-N#Акция обыкновенная именная (вып.4)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RU000A0B90N8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009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RASD/DR#RU#1-04-21725-N#Распадс,ПАО ао1/10000000000000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009FB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009FB">
      <w:pPr>
        <w:rPr>
          <w:rFonts w:eastAsia="Times New Roman"/>
        </w:rPr>
      </w:pPr>
    </w:p>
    <w:p w:rsidR="00000000" w:rsidRDefault="001009FB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009FB">
      <w:pPr>
        <w:rPr>
          <w:rFonts w:eastAsia="Times New Roman"/>
        </w:rPr>
      </w:pPr>
      <w:r>
        <w:rPr>
          <w:rFonts w:eastAsia="Times New Roman"/>
        </w:rPr>
        <w:t>1. Утверждение годового отчета, годовой бухгалтерской (финансовой) отчетности ПАО «Распадская» за 2016 год.</w:t>
      </w:r>
      <w:r>
        <w:rPr>
          <w:rFonts w:eastAsia="Times New Roman"/>
        </w:rPr>
        <w:br/>
        <w:t>2. Распределение прибыли (в том числе выплата (объявление) дивидендов) и убытков ПАО "Распадская" по результатам 2016 года.</w:t>
      </w:r>
      <w:r>
        <w:rPr>
          <w:rFonts w:eastAsia="Times New Roman"/>
        </w:rPr>
        <w:br/>
        <w:t>3. Избра</w:t>
      </w:r>
      <w:r>
        <w:rPr>
          <w:rFonts w:eastAsia="Times New Roman"/>
        </w:rPr>
        <w:t>ние Ревизора ПАО «Распадская».</w:t>
      </w:r>
      <w:r>
        <w:rPr>
          <w:rFonts w:eastAsia="Times New Roman"/>
        </w:rPr>
        <w:br/>
        <w:t>4. Утверждение аудитора ПАО «Распадская».</w:t>
      </w:r>
      <w:r>
        <w:rPr>
          <w:rFonts w:eastAsia="Times New Roman"/>
        </w:rPr>
        <w:br/>
        <w:t>5. Определение количественного состава Совета директоров ПАО «Распадская».</w:t>
      </w:r>
      <w:r>
        <w:rPr>
          <w:rFonts w:eastAsia="Times New Roman"/>
        </w:rPr>
        <w:br/>
        <w:t xml:space="preserve">6. Избрание членов Совета директоров ПАО «Распадская». </w:t>
      </w:r>
    </w:p>
    <w:p w:rsidR="00000000" w:rsidRDefault="001009FB">
      <w:pPr>
        <w:pStyle w:val="a3"/>
      </w:pPr>
      <w:r>
        <w:t>4.4. Сообщение о проведении общего собрания акционер</w:t>
      </w:r>
      <w:r>
        <w:t>ов эмитента.</w:t>
      </w:r>
      <w:r>
        <w:br/>
        <w:t xml:space="preserve">4.6. Содержание и состав сведений, составляющих Информация (материалы), подлежащую предоставлению лицам, имеющим право на участие в общем собрании акционеров. </w:t>
      </w:r>
      <w:r>
        <w:br/>
        <w:t>4.8. Содержание (текст) бюллетеней для голосования на общем собрании акционеров (По</w:t>
      </w:r>
      <w:r>
        <w:t xml:space="preserve">ложение 546-П от 01.06.2016). </w:t>
      </w:r>
    </w:p>
    <w:p w:rsidR="00000000" w:rsidRDefault="001009FB">
      <w:pPr>
        <w:pStyle w:val="a3"/>
      </w:pPr>
      <w:r>
        <w:t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участие в данном корпоративном действии, согл</w:t>
      </w:r>
      <w:r>
        <w:t>асно п. 4 ст. 52 Федерального закона от 26 декабря 1995 года №208-ФЗ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1009F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1009FB" w:rsidRDefault="001009FB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</w:t>
      </w:r>
      <w:r>
        <w:rPr>
          <w:rFonts w:eastAsia="Times New Roman"/>
        </w:rPr>
        <w:t>нам: (495) 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1009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42858"/>
    <w:rsid w:val="001009FB"/>
    <w:rsid w:val="00E428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544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1c4d6c9689874989bd42741bb7db4a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1850</Words>
  <Characters>10550</Characters>
  <Application>Microsoft Office Word</Application>
  <DocSecurity>0</DocSecurity>
  <Lines>87</Lines>
  <Paragraphs>24</Paragraphs>
  <ScaleCrop>false</ScaleCrop>
  <Company/>
  <LinksUpToDate>false</LinksUpToDate>
  <CharactersWithSpaces>12376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2017-04-26T09:50:00Z</dcterms:created>
  <dcterms:modified xsi:type="dcterms:W3CDTF">2017-04-26T09:50:00Z</dcterms:modified>
</cp:coreProperties>
</file>