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E11DCC">
      <w:pPr>
        <w:pStyle w:val="a3"/>
        <w:divId w:val="92864563"/>
      </w:pPr>
      <w:bookmarkStart w:id="0" w:name="_GoBack"/>
      <w:bookmarkEnd w:id="0"/>
      <w:r>
        <w:t>CS311 Уведомление о корпоративном действии</w:t>
      </w:r>
    </w:p>
    <w:tbl>
      <w:tblPr>
        <w:tblW w:w="5000" w:type="pct"/>
        <w:tblCellSpacing w:w="7" w:type="dxa"/>
        <w:tblCellMar>
          <w:left w:w="0" w:type="dxa"/>
          <w:right w:w="0" w:type="dxa"/>
        </w:tblCellMar>
        <w:tblLook w:val="04A0" w:firstRow="1" w:lastRow="0" w:firstColumn="1" w:lastColumn="0" w:noHBand="0" w:noVBand="1"/>
      </w:tblPr>
      <w:tblGrid>
        <w:gridCol w:w="3429"/>
        <w:gridCol w:w="2424"/>
        <w:gridCol w:w="3502"/>
      </w:tblGrid>
      <w:tr w:rsidR="00000000">
        <w:trPr>
          <w:divId w:val="92864563"/>
          <w:tblCellSpacing w:w="7" w:type="dxa"/>
        </w:trPr>
        <w:tc>
          <w:tcPr>
            <w:tcW w:w="0" w:type="auto"/>
            <w:vAlign w:val="center"/>
            <w:hideMark/>
          </w:tcPr>
          <w:p w:rsidR="00000000" w:rsidRDefault="00E11DCC">
            <w:pPr>
              <w:rPr>
                <w:rFonts w:eastAsia="Times New Roman"/>
              </w:rPr>
            </w:pPr>
            <w:r>
              <w:rPr>
                <w:rFonts w:eastAsia="Times New Roman"/>
              </w:rPr>
              <w:t>Сообщение</w:t>
            </w:r>
          </w:p>
        </w:tc>
        <w:tc>
          <w:tcPr>
            <w:tcW w:w="0" w:type="auto"/>
            <w:vAlign w:val="center"/>
            <w:hideMark/>
          </w:tcPr>
          <w:p w:rsidR="00000000" w:rsidRDefault="00E11DCC">
            <w:pPr>
              <w:rPr>
                <w:rFonts w:eastAsia="Times New Roman"/>
              </w:rPr>
            </w:pPr>
            <w:r>
              <w:rPr>
                <w:rFonts w:eastAsia="Times New Roman"/>
              </w:rPr>
              <w:t>№ 85141520</w:t>
            </w:r>
          </w:p>
        </w:tc>
        <w:tc>
          <w:tcPr>
            <w:tcW w:w="0" w:type="auto"/>
            <w:vAlign w:val="center"/>
            <w:hideMark/>
          </w:tcPr>
          <w:p w:rsidR="00000000" w:rsidRDefault="00E11DCC">
            <w:pPr>
              <w:rPr>
                <w:rFonts w:eastAsia="Times New Roman"/>
              </w:rPr>
            </w:pPr>
          </w:p>
        </w:tc>
      </w:tr>
      <w:tr w:rsidR="00000000">
        <w:trPr>
          <w:divId w:val="92864563"/>
          <w:tblCellSpacing w:w="7" w:type="dxa"/>
        </w:trPr>
        <w:tc>
          <w:tcPr>
            <w:tcW w:w="0" w:type="auto"/>
            <w:vAlign w:val="center"/>
            <w:hideMark/>
          </w:tcPr>
          <w:p w:rsidR="00000000" w:rsidRDefault="00E11DCC">
            <w:pPr>
              <w:rPr>
                <w:rFonts w:eastAsia="Times New Roman"/>
              </w:rPr>
            </w:pPr>
            <w:r>
              <w:rPr>
                <w:rFonts w:eastAsia="Times New Roman"/>
              </w:rPr>
              <w:t>Функция сообщения:</w:t>
            </w:r>
          </w:p>
        </w:tc>
        <w:tc>
          <w:tcPr>
            <w:tcW w:w="0" w:type="auto"/>
            <w:vAlign w:val="center"/>
            <w:hideMark/>
          </w:tcPr>
          <w:p w:rsidR="00000000" w:rsidRDefault="00E11DCC">
            <w:pPr>
              <w:rPr>
                <w:rFonts w:eastAsia="Times New Roman"/>
              </w:rPr>
            </w:pPr>
            <w:r>
              <w:rPr>
                <w:rFonts w:eastAsia="Times New Roman"/>
              </w:rPr>
              <w:t>Новое сообщение</w:t>
            </w:r>
          </w:p>
        </w:tc>
        <w:tc>
          <w:tcPr>
            <w:tcW w:w="0" w:type="auto"/>
            <w:vAlign w:val="center"/>
            <w:hideMark/>
          </w:tcPr>
          <w:p w:rsidR="00000000" w:rsidRDefault="00E11DCC">
            <w:pPr>
              <w:rPr>
                <w:rFonts w:eastAsia="Times New Roman"/>
              </w:rPr>
            </w:pPr>
          </w:p>
        </w:tc>
      </w:tr>
      <w:tr w:rsidR="00000000">
        <w:trPr>
          <w:divId w:val="92864563"/>
          <w:tblCellSpacing w:w="7" w:type="dxa"/>
        </w:trPr>
        <w:tc>
          <w:tcPr>
            <w:tcW w:w="0" w:type="auto"/>
            <w:vAlign w:val="center"/>
            <w:hideMark/>
          </w:tcPr>
          <w:p w:rsidR="00000000" w:rsidRDefault="00E11DCC">
            <w:pPr>
              <w:rPr>
                <w:rFonts w:eastAsia="Times New Roman"/>
              </w:rPr>
            </w:pPr>
            <w:r>
              <w:rPr>
                <w:rFonts w:eastAsia="Times New Roman"/>
              </w:rPr>
              <w:t>Отправитель сообщения:</w:t>
            </w:r>
          </w:p>
        </w:tc>
        <w:tc>
          <w:tcPr>
            <w:tcW w:w="0" w:type="auto"/>
            <w:vAlign w:val="center"/>
            <w:hideMark/>
          </w:tcPr>
          <w:p w:rsidR="00000000" w:rsidRDefault="00E11DCC">
            <w:pPr>
              <w:rPr>
                <w:rFonts w:eastAsia="Times New Roman"/>
              </w:rPr>
            </w:pPr>
            <w:r>
              <w:rPr>
                <w:rFonts w:eastAsia="Times New Roman"/>
              </w:rPr>
              <w:t>NDC000000000</w:t>
            </w:r>
          </w:p>
        </w:tc>
        <w:tc>
          <w:tcPr>
            <w:tcW w:w="0" w:type="auto"/>
            <w:vAlign w:val="center"/>
            <w:hideMark/>
          </w:tcPr>
          <w:p w:rsidR="00000000" w:rsidRDefault="00E11DCC">
            <w:pPr>
              <w:rPr>
                <w:rFonts w:eastAsia="Times New Roman"/>
              </w:rPr>
            </w:pPr>
            <w:r>
              <w:rPr>
                <w:rFonts w:eastAsia="Times New Roman"/>
              </w:rPr>
              <w:t>НКО АО НРД</w:t>
            </w:r>
          </w:p>
        </w:tc>
      </w:tr>
      <w:tr w:rsidR="00000000">
        <w:trPr>
          <w:divId w:val="92864563"/>
          <w:tblCellSpacing w:w="7" w:type="dxa"/>
        </w:trPr>
        <w:tc>
          <w:tcPr>
            <w:tcW w:w="0" w:type="auto"/>
            <w:vAlign w:val="center"/>
            <w:hideMark/>
          </w:tcPr>
          <w:p w:rsidR="00000000" w:rsidRDefault="00E11DCC">
            <w:pPr>
              <w:rPr>
                <w:rFonts w:eastAsia="Times New Roman"/>
              </w:rPr>
            </w:pPr>
            <w:r>
              <w:rPr>
                <w:rFonts w:eastAsia="Times New Roman"/>
              </w:rPr>
              <w:t>Получатель сообщения:</w:t>
            </w:r>
          </w:p>
        </w:tc>
        <w:tc>
          <w:tcPr>
            <w:tcW w:w="0" w:type="auto"/>
            <w:vAlign w:val="center"/>
            <w:hideMark/>
          </w:tcPr>
          <w:p w:rsidR="00000000" w:rsidRDefault="00E11DCC">
            <w:pPr>
              <w:rPr>
                <w:rFonts w:eastAsia="Times New Roman"/>
              </w:rPr>
            </w:pPr>
            <w:r>
              <w:rPr>
                <w:rFonts w:eastAsia="Times New Roman"/>
              </w:rPr>
              <w:t>MC0083900000</w:t>
            </w:r>
          </w:p>
        </w:tc>
        <w:tc>
          <w:tcPr>
            <w:tcW w:w="0" w:type="auto"/>
            <w:vAlign w:val="center"/>
            <w:hideMark/>
          </w:tcPr>
          <w:p w:rsidR="00000000" w:rsidRDefault="00E11DCC">
            <w:pPr>
              <w:rPr>
                <w:rFonts w:eastAsia="Times New Roman"/>
              </w:rPr>
            </w:pPr>
            <w:r>
              <w:rPr>
                <w:rFonts w:eastAsia="Times New Roman"/>
              </w:rPr>
              <w:t>ООО ИК "ММК-Финанс"</w:t>
            </w:r>
          </w:p>
        </w:tc>
      </w:tr>
    </w:tbl>
    <w:p w:rsidR="00000000" w:rsidRDefault="00E11DCC">
      <w:pPr>
        <w:pStyle w:val="1"/>
        <w:rPr>
          <w:rFonts w:eastAsia="Times New Roman"/>
        </w:rPr>
      </w:pPr>
      <w:r>
        <w:rPr>
          <w:rFonts w:eastAsia="Times New Roman"/>
        </w:rPr>
        <w:t>(BPUT) О корпоративном действии "Досрочное погашение ценных бумаг или приобретение их эмитентом" с ценными бумагами эмитента ПАО "Сегежа Групп" ИНН 9703024202 (облигация 4B02-04-87154-H-002P / ISIN RU000A104UA4)</w:t>
      </w:r>
    </w:p>
    <w:tbl>
      <w:tblPr>
        <w:tblW w:w="5000" w:type="pct"/>
        <w:tblCellSpacing w:w="7" w:type="dxa"/>
        <w:tblCellMar>
          <w:left w:w="0" w:type="dxa"/>
          <w:right w:w="0" w:type="dxa"/>
        </w:tblCellMar>
        <w:tblLook w:val="04A0" w:firstRow="1" w:lastRow="0" w:firstColumn="1" w:lastColumn="0" w:noHBand="0" w:noVBand="1"/>
      </w:tblPr>
      <w:tblGrid>
        <w:gridCol w:w="3318"/>
        <w:gridCol w:w="6037"/>
      </w:tblGrid>
      <w:tr w:rsidR="00000000">
        <w:trPr>
          <w:tblHeader/>
          <w:tblCellSpacing w:w="7" w:type="dxa"/>
        </w:trPr>
        <w:tc>
          <w:tcPr>
            <w:tcW w:w="0" w:type="auto"/>
            <w:gridSpan w:val="2"/>
            <w:shd w:val="clear" w:color="auto" w:fill="BBBBBB"/>
            <w:vAlign w:val="center"/>
            <w:hideMark/>
          </w:tcPr>
          <w:p w:rsidR="00000000" w:rsidRDefault="00E11DCC">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Референс корпоративного действия</w:t>
            </w:r>
          </w:p>
        </w:tc>
        <w:tc>
          <w:tcPr>
            <w:tcW w:w="0" w:type="auto"/>
            <w:shd w:val="clear" w:color="auto" w:fill="EEEEEE"/>
            <w:vAlign w:val="center"/>
            <w:hideMark/>
          </w:tcPr>
          <w:p w:rsidR="00000000" w:rsidRDefault="00E11DCC">
            <w:pPr>
              <w:wordWrap w:val="0"/>
              <w:rPr>
                <w:rFonts w:eastAsia="Times New Roman"/>
              </w:rPr>
            </w:pPr>
            <w:r>
              <w:rPr>
                <w:rFonts w:eastAsia="Times New Roman"/>
              </w:rPr>
              <w:t>861271</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E11DCC">
            <w:pPr>
              <w:wordWrap w:val="0"/>
              <w:rPr>
                <w:rFonts w:eastAsia="Times New Roman"/>
              </w:rPr>
            </w:pPr>
            <w:r>
              <w:rPr>
                <w:rFonts w:eastAsia="Times New Roman"/>
              </w:rPr>
              <w:t>BPUT</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E11DCC">
            <w:pPr>
              <w:wordWrap w:val="0"/>
              <w:rPr>
                <w:rFonts w:eastAsia="Times New Roman"/>
              </w:rPr>
            </w:pPr>
            <w:r>
              <w:rPr>
                <w:rFonts w:eastAsia="Times New Roman"/>
              </w:rPr>
              <w:t>Досрочное погашение ценных бумаг или приобретение их эмитентом</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Вид корпоративного действия</w:t>
            </w:r>
          </w:p>
        </w:tc>
        <w:tc>
          <w:tcPr>
            <w:tcW w:w="0" w:type="auto"/>
            <w:shd w:val="clear" w:color="auto" w:fill="EEEEEE"/>
            <w:vAlign w:val="center"/>
            <w:hideMark/>
          </w:tcPr>
          <w:p w:rsidR="00000000" w:rsidRDefault="00E11DCC">
            <w:pPr>
              <w:wordWrap w:val="0"/>
              <w:rPr>
                <w:rFonts w:eastAsia="Times New Roman"/>
              </w:rPr>
            </w:pPr>
            <w:r>
              <w:rPr>
                <w:rFonts w:eastAsia="Times New Roman"/>
              </w:rPr>
              <w:t>Приобретение эмитентом облигаций по требованию их владел</w:t>
            </w:r>
            <w:r>
              <w:rPr>
                <w:rFonts w:eastAsia="Times New Roman"/>
              </w:rPr>
              <w:t>ьцев</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Статус обработки</w:t>
            </w:r>
          </w:p>
        </w:tc>
        <w:tc>
          <w:tcPr>
            <w:tcW w:w="0" w:type="auto"/>
            <w:shd w:val="clear" w:color="auto" w:fill="EEEEEE"/>
            <w:vAlign w:val="center"/>
            <w:hideMark/>
          </w:tcPr>
          <w:p w:rsidR="00000000" w:rsidRDefault="00E11DCC">
            <w:pPr>
              <w:wordWrap w:val="0"/>
              <w:rPr>
                <w:rFonts w:eastAsia="Times New Roman"/>
              </w:rPr>
            </w:pPr>
            <w:r>
              <w:rPr>
                <w:rFonts w:eastAsia="Times New Roman"/>
              </w:rPr>
              <w:t>Полная информация</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Дата КД (план.)</w:t>
            </w:r>
          </w:p>
        </w:tc>
        <w:tc>
          <w:tcPr>
            <w:tcW w:w="0" w:type="auto"/>
            <w:shd w:val="clear" w:color="auto" w:fill="EEEEEE"/>
            <w:vAlign w:val="center"/>
            <w:hideMark/>
          </w:tcPr>
          <w:p w:rsidR="00000000" w:rsidRDefault="00E11DCC">
            <w:pPr>
              <w:rPr>
                <w:rFonts w:eastAsia="Times New Roman"/>
              </w:rPr>
            </w:pPr>
            <w:r>
              <w:rPr>
                <w:rFonts w:eastAsia="Times New Roman"/>
              </w:rPr>
              <w:t>30 ноября 2023 г.</w:t>
            </w:r>
          </w:p>
        </w:tc>
      </w:tr>
    </w:tbl>
    <w:p w:rsidR="00000000" w:rsidRDefault="00E11D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1515"/>
        <w:gridCol w:w="1324"/>
        <w:gridCol w:w="1992"/>
        <w:gridCol w:w="1394"/>
        <w:gridCol w:w="1164"/>
        <w:gridCol w:w="1708"/>
        <w:gridCol w:w="1708"/>
        <w:gridCol w:w="1531"/>
        <w:gridCol w:w="1483"/>
        <w:gridCol w:w="1094"/>
      </w:tblGrid>
      <w:tr w:rsidR="00000000">
        <w:trPr>
          <w:tblHeader/>
          <w:tblCellSpacing w:w="7" w:type="dxa"/>
        </w:trPr>
        <w:tc>
          <w:tcPr>
            <w:tcW w:w="0" w:type="auto"/>
            <w:gridSpan w:val="10"/>
            <w:shd w:val="clear" w:color="auto" w:fill="BBBBBB"/>
            <w:vAlign w:val="center"/>
            <w:hideMark/>
          </w:tcPr>
          <w:p w:rsidR="00000000" w:rsidRDefault="00E11DCC">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E11DCC">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E11DCC">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E11DCC">
            <w:pPr>
              <w:jc w:val="center"/>
              <w:rPr>
                <w:rFonts w:eastAsia="Times New Roman"/>
                <w:b/>
                <w:bCs/>
              </w:rPr>
            </w:pPr>
            <w:r>
              <w:rPr>
                <w:rFonts w:eastAsia="Times New Roman"/>
                <w:b/>
                <w:bCs/>
              </w:rPr>
              <w:t>Регистрационный номер</w:t>
            </w:r>
          </w:p>
        </w:tc>
        <w:tc>
          <w:tcPr>
            <w:tcW w:w="0" w:type="auto"/>
            <w:shd w:val="clear" w:color="auto" w:fill="BBBBBB"/>
            <w:vAlign w:val="center"/>
            <w:hideMark/>
          </w:tcPr>
          <w:p w:rsidR="00000000" w:rsidRDefault="00E11DCC">
            <w:pPr>
              <w:jc w:val="center"/>
              <w:rPr>
                <w:rFonts w:eastAsia="Times New Roman"/>
                <w:b/>
                <w:bCs/>
              </w:rPr>
            </w:pPr>
            <w:r>
              <w:rPr>
                <w:rFonts w:eastAsia="Times New Roman"/>
                <w:b/>
                <w:bCs/>
              </w:rPr>
              <w:t>Дата регистрации</w:t>
            </w:r>
          </w:p>
        </w:tc>
        <w:tc>
          <w:tcPr>
            <w:tcW w:w="0" w:type="auto"/>
            <w:shd w:val="clear" w:color="auto" w:fill="BBBBBB"/>
            <w:vAlign w:val="center"/>
            <w:hideMark/>
          </w:tcPr>
          <w:p w:rsidR="00000000" w:rsidRDefault="00E11DCC">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E11DCC">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E11DCC">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E11DCC">
            <w:pPr>
              <w:jc w:val="center"/>
              <w:rPr>
                <w:rFonts w:eastAsia="Times New Roman"/>
                <w:b/>
                <w:bCs/>
              </w:rPr>
            </w:pPr>
            <w:r>
              <w:rPr>
                <w:rFonts w:eastAsia="Times New Roman"/>
                <w:b/>
                <w:bCs/>
              </w:rPr>
              <w:t>Номинальная стоимость</w:t>
            </w:r>
          </w:p>
        </w:tc>
        <w:tc>
          <w:tcPr>
            <w:tcW w:w="0" w:type="auto"/>
            <w:shd w:val="clear" w:color="auto" w:fill="BBBBBB"/>
            <w:vAlign w:val="center"/>
            <w:hideMark/>
          </w:tcPr>
          <w:p w:rsidR="00000000" w:rsidRDefault="00E11DCC">
            <w:pPr>
              <w:jc w:val="center"/>
              <w:rPr>
                <w:rFonts w:eastAsia="Times New Roman"/>
                <w:b/>
                <w:bCs/>
              </w:rPr>
            </w:pPr>
            <w:r>
              <w:rPr>
                <w:rFonts w:eastAsia="Times New Roman"/>
                <w:b/>
                <w:bCs/>
              </w:rPr>
              <w:t>Остаточная номинальная стоимость</w:t>
            </w:r>
          </w:p>
        </w:tc>
        <w:tc>
          <w:tcPr>
            <w:tcW w:w="0" w:type="auto"/>
            <w:shd w:val="clear" w:color="auto" w:fill="BBBBBB"/>
            <w:vAlign w:val="center"/>
            <w:hideMark/>
          </w:tcPr>
          <w:p w:rsidR="00000000" w:rsidRDefault="00E11DCC">
            <w:pPr>
              <w:jc w:val="center"/>
              <w:rPr>
                <w:rFonts w:eastAsia="Times New Roman"/>
                <w:b/>
                <w:bCs/>
              </w:rPr>
            </w:pPr>
            <w:r>
              <w:rPr>
                <w:rFonts w:eastAsia="Times New Roman"/>
                <w:b/>
                <w:bCs/>
              </w:rPr>
              <w:t>Валюта номинала</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861271X75305</w:t>
            </w:r>
          </w:p>
        </w:tc>
        <w:tc>
          <w:tcPr>
            <w:tcW w:w="0" w:type="auto"/>
            <w:shd w:val="clear" w:color="auto" w:fill="EEEEEE"/>
            <w:vAlign w:val="center"/>
            <w:hideMark/>
          </w:tcPr>
          <w:p w:rsidR="00000000" w:rsidRDefault="00E11DCC">
            <w:pPr>
              <w:rPr>
                <w:rFonts w:eastAsia="Times New Roman"/>
              </w:rPr>
            </w:pPr>
            <w:r>
              <w:rPr>
                <w:rFonts w:eastAsia="Times New Roman"/>
              </w:rPr>
              <w:t>Публичное акционерное общество Группа компаний "Сегежа"</w:t>
            </w:r>
          </w:p>
        </w:tc>
        <w:tc>
          <w:tcPr>
            <w:tcW w:w="0" w:type="auto"/>
            <w:shd w:val="clear" w:color="auto" w:fill="EEEEEE"/>
            <w:vAlign w:val="center"/>
            <w:hideMark/>
          </w:tcPr>
          <w:p w:rsidR="00000000" w:rsidRDefault="00E11DCC">
            <w:pPr>
              <w:rPr>
                <w:rFonts w:eastAsia="Times New Roman"/>
              </w:rPr>
            </w:pPr>
            <w:r>
              <w:rPr>
                <w:rFonts w:eastAsia="Times New Roman"/>
              </w:rPr>
              <w:t>4B02-04-87154-H-002P</w:t>
            </w:r>
          </w:p>
        </w:tc>
        <w:tc>
          <w:tcPr>
            <w:tcW w:w="0" w:type="auto"/>
            <w:shd w:val="clear" w:color="auto" w:fill="EEEEEE"/>
            <w:vAlign w:val="center"/>
            <w:hideMark/>
          </w:tcPr>
          <w:p w:rsidR="00000000" w:rsidRDefault="00E11DCC">
            <w:pPr>
              <w:rPr>
                <w:rFonts w:eastAsia="Times New Roman"/>
              </w:rPr>
            </w:pPr>
            <w:r>
              <w:rPr>
                <w:rFonts w:eastAsia="Times New Roman"/>
              </w:rPr>
              <w:t>24 мая 2022 г.</w:t>
            </w:r>
          </w:p>
        </w:tc>
        <w:tc>
          <w:tcPr>
            <w:tcW w:w="0" w:type="auto"/>
            <w:shd w:val="clear" w:color="auto" w:fill="EEEEEE"/>
            <w:vAlign w:val="center"/>
            <w:hideMark/>
          </w:tcPr>
          <w:p w:rsidR="00000000" w:rsidRDefault="00E11DCC">
            <w:pPr>
              <w:rPr>
                <w:rFonts w:eastAsia="Times New Roman"/>
              </w:rPr>
            </w:pPr>
            <w:r>
              <w:rPr>
                <w:rFonts w:eastAsia="Times New Roman"/>
              </w:rPr>
              <w:t xml:space="preserve">облигации </w:t>
            </w:r>
          </w:p>
        </w:tc>
        <w:tc>
          <w:tcPr>
            <w:tcW w:w="0" w:type="auto"/>
            <w:shd w:val="clear" w:color="auto" w:fill="EEEEEE"/>
            <w:vAlign w:val="center"/>
            <w:hideMark/>
          </w:tcPr>
          <w:p w:rsidR="00000000" w:rsidRDefault="00E11DCC">
            <w:pPr>
              <w:rPr>
                <w:rFonts w:eastAsia="Times New Roman"/>
              </w:rPr>
            </w:pPr>
            <w:r>
              <w:rPr>
                <w:rFonts w:eastAsia="Times New Roman"/>
              </w:rPr>
              <w:t>RU000A104UA4</w:t>
            </w:r>
          </w:p>
        </w:tc>
        <w:tc>
          <w:tcPr>
            <w:tcW w:w="0" w:type="auto"/>
            <w:shd w:val="clear" w:color="auto" w:fill="EEEEEE"/>
            <w:vAlign w:val="center"/>
            <w:hideMark/>
          </w:tcPr>
          <w:p w:rsidR="00000000" w:rsidRDefault="00E11DCC">
            <w:pPr>
              <w:rPr>
                <w:rFonts w:eastAsia="Times New Roman"/>
              </w:rPr>
            </w:pPr>
            <w:r>
              <w:rPr>
                <w:rFonts w:eastAsia="Times New Roman"/>
              </w:rPr>
              <w:t>RU000A104UA4</w:t>
            </w:r>
          </w:p>
        </w:tc>
        <w:tc>
          <w:tcPr>
            <w:tcW w:w="0" w:type="auto"/>
            <w:shd w:val="clear" w:color="auto" w:fill="EEEEEE"/>
            <w:vAlign w:val="center"/>
            <w:hideMark/>
          </w:tcPr>
          <w:p w:rsidR="00000000" w:rsidRDefault="00E11DCC">
            <w:pPr>
              <w:rPr>
                <w:rFonts w:eastAsia="Times New Roman"/>
              </w:rPr>
            </w:pPr>
            <w:r>
              <w:rPr>
                <w:rFonts w:eastAsia="Times New Roman"/>
              </w:rPr>
              <w:t>1000</w:t>
            </w:r>
          </w:p>
        </w:tc>
        <w:tc>
          <w:tcPr>
            <w:tcW w:w="0" w:type="auto"/>
            <w:shd w:val="clear" w:color="auto" w:fill="EEEEEE"/>
            <w:vAlign w:val="center"/>
            <w:hideMark/>
          </w:tcPr>
          <w:p w:rsidR="00000000" w:rsidRDefault="00E11DCC">
            <w:pPr>
              <w:rPr>
                <w:rFonts w:eastAsia="Times New Roman"/>
              </w:rPr>
            </w:pPr>
            <w:r>
              <w:rPr>
                <w:rFonts w:eastAsia="Times New Roman"/>
              </w:rPr>
              <w:t>1000</w:t>
            </w:r>
          </w:p>
        </w:tc>
        <w:tc>
          <w:tcPr>
            <w:tcW w:w="0" w:type="auto"/>
            <w:shd w:val="clear" w:color="auto" w:fill="EEEEEE"/>
            <w:vAlign w:val="center"/>
            <w:hideMark/>
          </w:tcPr>
          <w:p w:rsidR="00000000" w:rsidRDefault="00E11DCC">
            <w:pPr>
              <w:rPr>
                <w:rFonts w:eastAsia="Times New Roman"/>
              </w:rPr>
            </w:pPr>
            <w:r>
              <w:rPr>
                <w:rFonts w:eastAsia="Times New Roman"/>
              </w:rPr>
              <w:t>RUB</w:t>
            </w:r>
          </w:p>
        </w:tc>
      </w:tr>
    </w:tbl>
    <w:p w:rsidR="00000000" w:rsidRDefault="00E11DCC">
      <w:pPr>
        <w:rPr>
          <w:rFonts w:eastAsia="Times New Roman"/>
        </w:rPr>
      </w:pPr>
    </w:p>
    <w:tbl>
      <w:tblPr>
        <w:tblW w:w="5000" w:type="pct"/>
        <w:tblCellSpacing w:w="7" w:type="dxa"/>
        <w:tblCellMar>
          <w:left w:w="0" w:type="dxa"/>
          <w:right w:w="0" w:type="dxa"/>
        </w:tblCellMar>
        <w:tblLook w:val="04A0" w:firstRow="1" w:lastRow="0" w:firstColumn="1" w:lastColumn="0" w:noHBand="0" w:noVBand="1"/>
      </w:tblPr>
      <w:tblGrid>
        <w:gridCol w:w="5623"/>
        <w:gridCol w:w="3732"/>
      </w:tblGrid>
      <w:tr w:rsidR="00000000">
        <w:trPr>
          <w:tblHeader/>
          <w:tblCellSpacing w:w="7" w:type="dxa"/>
        </w:trPr>
        <w:tc>
          <w:tcPr>
            <w:tcW w:w="0" w:type="auto"/>
            <w:gridSpan w:val="2"/>
            <w:shd w:val="clear" w:color="auto" w:fill="BBBBBB"/>
            <w:vAlign w:val="center"/>
            <w:hideMark/>
          </w:tcPr>
          <w:p w:rsidR="00000000" w:rsidRDefault="00E11DCC">
            <w:pPr>
              <w:jc w:val="center"/>
              <w:rPr>
                <w:rFonts w:eastAsia="Times New Roman"/>
                <w:b/>
                <w:bCs/>
              </w:rPr>
            </w:pPr>
            <w:r>
              <w:rPr>
                <w:rFonts w:eastAsia="Times New Roman"/>
                <w:b/>
                <w:bCs/>
              </w:rPr>
              <w:t>Детали корпоративного действия</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Способ подачи инструкций (требований)</w:t>
            </w:r>
          </w:p>
        </w:tc>
        <w:tc>
          <w:tcPr>
            <w:tcW w:w="0" w:type="auto"/>
            <w:shd w:val="clear" w:color="auto" w:fill="EEEEEE"/>
            <w:vAlign w:val="center"/>
            <w:hideMark/>
          </w:tcPr>
          <w:p w:rsidR="00000000" w:rsidRDefault="00E11DCC">
            <w:pPr>
              <w:wordWrap w:val="0"/>
              <w:rPr>
                <w:rFonts w:eastAsia="Times New Roman"/>
              </w:rPr>
            </w:pPr>
            <w:r>
              <w:rPr>
                <w:rFonts w:eastAsia="Times New Roman"/>
              </w:rPr>
              <w:t>Подача требований возможна или через депозитарий с блокированием ценных бумаг, или путем подачи заявок на Бирже</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Способ удовлетворения инструкций (требований)</w:t>
            </w:r>
          </w:p>
        </w:tc>
        <w:tc>
          <w:tcPr>
            <w:tcW w:w="0" w:type="auto"/>
            <w:shd w:val="clear" w:color="auto" w:fill="EEEEEE"/>
            <w:vAlign w:val="center"/>
            <w:hideMark/>
          </w:tcPr>
          <w:p w:rsidR="00000000" w:rsidRDefault="00E11DCC">
            <w:pPr>
              <w:wordWrap w:val="0"/>
              <w:rPr>
                <w:rFonts w:eastAsia="Times New Roman"/>
              </w:rPr>
            </w:pPr>
            <w:r>
              <w:rPr>
                <w:rFonts w:eastAsia="Times New Roman"/>
              </w:rPr>
              <w:t>Удовлетворение инструкций (требований) по корпоративному де</w:t>
            </w:r>
            <w:r>
              <w:rPr>
                <w:rFonts w:eastAsia="Times New Roman"/>
              </w:rPr>
              <w:t>йствию единовременно</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lastRenderedPageBreak/>
              <w:t xml:space="preserve">Цена приобретения/досрочного погашения от номинальной стоимости (в процентах) </w:t>
            </w:r>
          </w:p>
        </w:tc>
        <w:tc>
          <w:tcPr>
            <w:tcW w:w="0" w:type="auto"/>
            <w:shd w:val="clear" w:color="auto" w:fill="EEEEEE"/>
            <w:vAlign w:val="center"/>
            <w:hideMark/>
          </w:tcPr>
          <w:p w:rsidR="00000000" w:rsidRDefault="00E11DCC">
            <w:pPr>
              <w:wordWrap w:val="0"/>
              <w:rPr>
                <w:rFonts w:eastAsia="Times New Roman"/>
              </w:rPr>
            </w:pPr>
            <w:r>
              <w:rPr>
                <w:rFonts w:eastAsia="Times New Roman"/>
              </w:rPr>
              <w:t>100</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Цена приобретения/досрочного погашения с учетом НКД</w:t>
            </w:r>
          </w:p>
        </w:tc>
        <w:tc>
          <w:tcPr>
            <w:tcW w:w="0" w:type="auto"/>
            <w:shd w:val="clear" w:color="auto" w:fill="EEEEEE"/>
            <w:vAlign w:val="center"/>
            <w:hideMark/>
          </w:tcPr>
          <w:p w:rsidR="00000000" w:rsidRDefault="00E11DCC">
            <w:pPr>
              <w:wordWrap w:val="0"/>
              <w:rPr>
                <w:rFonts w:eastAsia="Times New Roman"/>
              </w:rPr>
            </w:pPr>
            <w:r>
              <w:rPr>
                <w:rFonts w:eastAsia="Times New Roman"/>
              </w:rPr>
              <w:t>1000 RUB</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 xml:space="preserve">Валюта платежа </w:t>
            </w:r>
          </w:p>
        </w:tc>
        <w:tc>
          <w:tcPr>
            <w:tcW w:w="0" w:type="auto"/>
            <w:shd w:val="clear" w:color="auto" w:fill="EEEEEE"/>
            <w:vAlign w:val="center"/>
            <w:hideMark/>
          </w:tcPr>
          <w:p w:rsidR="00000000" w:rsidRDefault="00E11DCC">
            <w:pPr>
              <w:wordWrap w:val="0"/>
              <w:rPr>
                <w:rFonts w:eastAsia="Times New Roman"/>
              </w:rPr>
            </w:pPr>
            <w:r>
              <w:rPr>
                <w:rFonts w:eastAsia="Times New Roman"/>
              </w:rPr>
              <w:t>RUB</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Период действия предложения</w:t>
            </w:r>
          </w:p>
        </w:tc>
        <w:tc>
          <w:tcPr>
            <w:tcW w:w="0" w:type="auto"/>
            <w:shd w:val="clear" w:color="auto" w:fill="EEEEEE"/>
            <w:vAlign w:val="center"/>
            <w:hideMark/>
          </w:tcPr>
          <w:p w:rsidR="00000000" w:rsidRDefault="00E11DCC">
            <w:pPr>
              <w:wordWrap w:val="0"/>
              <w:rPr>
                <w:rFonts w:eastAsia="Times New Roman"/>
              </w:rPr>
            </w:pPr>
            <w:r>
              <w:rPr>
                <w:rFonts w:eastAsia="Times New Roman"/>
              </w:rPr>
              <w:t>с 21 ноября 2023 г. по 27 ноября 2023 г</w:t>
            </w:r>
            <w:r>
              <w:rPr>
                <w:rFonts w:eastAsia="Times New Roman"/>
              </w:rPr>
              <w:t>.</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Дата и время окончания приема инструкций (требований) по корпоративному действию, установленные инициатором</w:t>
            </w:r>
          </w:p>
        </w:tc>
        <w:tc>
          <w:tcPr>
            <w:tcW w:w="0" w:type="auto"/>
            <w:shd w:val="clear" w:color="auto" w:fill="EEEEEE"/>
            <w:vAlign w:val="center"/>
            <w:hideMark/>
          </w:tcPr>
          <w:p w:rsidR="00000000" w:rsidRDefault="00E11DCC">
            <w:pPr>
              <w:wordWrap w:val="0"/>
              <w:rPr>
                <w:rFonts w:eastAsia="Times New Roman"/>
              </w:rPr>
            </w:pPr>
            <w:r>
              <w:rPr>
                <w:rFonts w:eastAsia="Times New Roman"/>
              </w:rPr>
              <w:t>27 ноября 2023 г.</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Дата и время окончания приема инструкций по корпоративному действию, установленные НКО АО НРД</w:t>
            </w:r>
          </w:p>
        </w:tc>
        <w:tc>
          <w:tcPr>
            <w:tcW w:w="0" w:type="auto"/>
            <w:shd w:val="clear" w:color="auto" w:fill="EEEEEE"/>
            <w:vAlign w:val="center"/>
            <w:hideMark/>
          </w:tcPr>
          <w:p w:rsidR="00000000" w:rsidRDefault="00E11DCC">
            <w:pPr>
              <w:wordWrap w:val="0"/>
              <w:rPr>
                <w:rFonts w:eastAsia="Times New Roman"/>
              </w:rPr>
            </w:pPr>
            <w:r>
              <w:rPr>
                <w:rFonts w:eastAsia="Times New Roman"/>
              </w:rPr>
              <w:t>27 ноября 2023 г. 16:00</w:t>
            </w:r>
          </w:p>
        </w:tc>
      </w:tr>
      <w:tr w:rsidR="00000000">
        <w:trPr>
          <w:tblCellSpacing w:w="7" w:type="dxa"/>
        </w:trPr>
        <w:tc>
          <w:tcPr>
            <w:tcW w:w="0" w:type="auto"/>
            <w:shd w:val="clear" w:color="auto" w:fill="EEEEEE"/>
            <w:vAlign w:val="center"/>
            <w:hideMark/>
          </w:tcPr>
          <w:p w:rsidR="00000000" w:rsidRDefault="00E11DCC">
            <w:pPr>
              <w:rPr>
                <w:rFonts w:eastAsia="Times New Roman"/>
              </w:rPr>
            </w:pPr>
            <w:r>
              <w:rPr>
                <w:rFonts w:eastAsia="Times New Roman"/>
              </w:rPr>
              <w:t>Максимальное количество облигаций, приобретаемых/погашаемых эмитентом</w:t>
            </w:r>
          </w:p>
        </w:tc>
        <w:tc>
          <w:tcPr>
            <w:tcW w:w="0" w:type="auto"/>
            <w:shd w:val="clear" w:color="auto" w:fill="EEEEEE"/>
            <w:vAlign w:val="center"/>
            <w:hideMark/>
          </w:tcPr>
          <w:p w:rsidR="00000000" w:rsidRDefault="00E11DCC">
            <w:pPr>
              <w:wordWrap w:val="0"/>
              <w:rPr>
                <w:rFonts w:eastAsia="Times New Roman"/>
              </w:rPr>
            </w:pPr>
            <w:r>
              <w:rPr>
                <w:rFonts w:eastAsia="Times New Roman"/>
              </w:rPr>
              <w:t>Любое количество</w:t>
            </w:r>
          </w:p>
        </w:tc>
      </w:tr>
    </w:tbl>
    <w:p w:rsidR="00000000" w:rsidRDefault="00E11DCC">
      <w:pPr>
        <w:rPr>
          <w:rFonts w:eastAsia="Times New Roman"/>
        </w:rPr>
      </w:pPr>
    </w:p>
    <w:p w:rsidR="00000000" w:rsidRDefault="00E11DCC">
      <w:pPr>
        <w:pStyle w:val="a3"/>
      </w:pPr>
      <w:r>
        <w:t>Настоящим сообщаем о получении НКО АО НРД информации, предоставляемой эмитентом ценных бумаг в соответствии с Положением ЦБ РФ N 751-П от 11 января 2021 года "О пере</w:t>
      </w:r>
      <w:r>
        <w:t>чне информации, связанной с осуществлением прав по ценным бумагам, 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p w:rsidR="00000000" w:rsidRDefault="00E11DCC">
      <w:pPr>
        <w:pStyle w:val="a3"/>
      </w:pPr>
      <w:r>
        <w:t xml:space="preserve">15.4 Информация о возникновении у владельцев облигаций права требовать от эмитента приобретения принадлежащих им облигаций </w:t>
      </w:r>
    </w:p>
    <w:p w:rsidR="00000000" w:rsidRDefault="00E11DCC">
      <w:pPr>
        <w:pStyle w:val="a3"/>
      </w:pPr>
      <w:r>
        <w:t>Эмитент обязан приобретать размещенные им Биржевые облигации по требованиям, заявленным владельцами Биржевых облигаций в течение пос</w:t>
      </w:r>
      <w:r>
        <w:t>ледних 5 (Пяти) рабочих дней 6 (шестого) купонного периода -с 21 ноября 2023 года по 27 ноября 2023 года включительно (далее – «Период предъявления Биржевых облигаций к приобретению»).</w:t>
      </w:r>
      <w:r>
        <w:br/>
        <w:t>Лицо, осуществляющее права по Биржевым облигациям, реализует право треб</w:t>
      </w:r>
      <w:r>
        <w:t>овать приобретения принадлежащих ему Биржевых облигаций по правилам, установленным действующим законодательством Российской Федерации.</w:t>
      </w:r>
      <w:r>
        <w:br/>
        <w:t>Требование к Эмитенту о приобретении Биржевых облигаций предъявляется путем подачи заявки в соответствии с правилами пров</w:t>
      </w:r>
      <w:r>
        <w:t>едения торгов Биржи, зарегистрированными в установленном порядке и действующими на дату подачи такой заявки.</w:t>
      </w:r>
      <w:r>
        <w:br/>
        <w:t>Приобретение Эмитентом Биржевых облигаций осуществляется путем заключения договоров купли-продажи Биржевых облигаций на торгах, проводимых ПАО Моск</w:t>
      </w:r>
      <w:r>
        <w:t>овская Биржа (далее – «Биржа»), через удовлетворение адресных заявок на продажу Биржевых облигаций, поданных с использованием системы торгов Биржи в соответствии с правилами проведения торгов Биржи, зарегистрированными в установленном порядке и действующим</w:t>
      </w:r>
      <w:r>
        <w:t>и на дату проведения торгов.</w:t>
      </w:r>
      <w:r>
        <w:br/>
        <w:t>Эмитент вправе действует с привлечением участника организованных торгов, уполномоченного Эмитентом на приобретение Биржевых облигаций, являющегося профессиональным участником рынка ценных бумаг (лицензия на осуществление брокер</w:t>
      </w:r>
      <w:r>
        <w:t>ской деятельности № 065-08840-100000 от 12.01.2006 г., лицензия на осуществление дилерской деятельности № 065-08844-010000 от 12.01.2006 г.) (далее – «Агент по приобретению»), идентификатор Агента по приобретению как участника торгов в Системе торгов ПАО М</w:t>
      </w:r>
      <w:r>
        <w:t>осковская Биржа: EC0106000000.</w:t>
      </w:r>
      <w:r>
        <w:br/>
      </w:r>
      <w:r>
        <w:lastRenderedPageBreak/>
        <w:t>В случае если владелец Биржевых облигаций не является участником организованных торгов Биржи, он должен заключить соответствующий договор с любым участником организованных торгов, и дать ему поручение на продажу Биржевых обли</w:t>
      </w:r>
      <w:r>
        <w:t>гаций Эмитенту (далее – «Агент по продаже»). Владелец Биржевых облигаций, являющийся участником организованных торгов, вправе действовать самостоятельно.</w:t>
      </w:r>
      <w:r>
        <w:br/>
        <w:t>В течение Периода предъявления Биржевых облигаций к приобретению с 21 ноября 2023 года по 27 ноября 20</w:t>
      </w:r>
      <w:r>
        <w:t xml:space="preserve">23 года (далее – «Период сбора заявок») владелец Биржевых облигаций самостоятельно или через Агента по продаже вправе подать заявку в адрес Агента по приобретению с указанием даты активации такой заявки. Время подачи заявок в Период сбора заявок – с 10.00 </w:t>
      </w:r>
      <w:r>
        <w:t>до 18.30 по Московскому времени, порядок подачи заявок устанавливается Эмитентом по согласованию c Биржей.</w:t>
      </w:r>
      <w:r>
        <w:br/>
        <w:t>Датой активации адресных заявок на продажу Биржевых облигаций является Дата приобретения по требованию владельцев – 30 ноября 2023 года. Заявка на пр</w:t>
      </w:r>
      <w:r>
        <w:t>одажу Биржевых облигаций должна содержать следующие значимые условия:</w:t>
      </w:r>
      <w:r>
        <w:br/>
        <w:t>- цена приобретения, соответствующая номинальной стоимости Биржевой облигации;</w:t>
      </w:r>
      <w:r>
        <w:br/>
        <w:t>- количество Биржевых облигаций, приобретения которых требует их владелец;</w:t>
      </w:r>
      <w:r>
        <w:br/>
        <w:t>- код расчетов, используемый при</w:t>
      </w:r>
      <w:r>
        <w:t xml:space="preserve"> заключении сделки с ценными бумагами, Z0;</w:t>
      </w:r>
      <w:r>
        <w:br/>
        <w:t>- Дата активации (30 ноября 2023 года);</w:t>
      </w:r>
      <w:r>
        <w:br/>
        <w:t>- прочие параметры в соответствии с Правилами Биржи.</w:t>
      </w:r>
      <w:r>
        <w:br/>
        <w:t>Заявки, не соответствующие изложенным выше требованиям, не принимаются.</w:t>
      </w:r>
      <w:r>
        <w:br/>
        <w:t>По окончании Периода сбора заявок владельцы Бирж</w:t>
      </w:r>
      <w:r>
        <w:t xml:space="preserve">евых облигаций (являющиеся участниками организованных торгов) или Агент по продаже не могут изменить или снять поданные ими заявки. Биржа после окончания Периода сбора заявок составляет сводный реестр заявок на продажу Биржевых облигаций (далее - «Сводный </w:t>
      </w:r>
      <w:r>
        <w:t>реестр заявок») и передает его Эмитенту (в случае, если Эмитент является участником организованных торгов) или Агенту по приобретению. Агент по приобретению (в случае его назначения) обеспечивает Эмитенту доступ к информации, содержащейся в Сводном реестре</w:t>
      </w:r>
      <w:r>
        <w:t xml:space="preserve"> заявок. Сводный реестр заявок содержит все значимые условия каждой заявки – цену приобретения, количество Биржевых облигаций, приобретения которых требует их владелец, дату и время поступления заявки, номер заявки, а также иные реквизиты в соответствии с </w:t>
      </w:r>
      <w:r>
        <w:t>Правилами Биржи.</w:t>
      </w:r>
      <w:r>
        <w:br/>
        <w:t>Обязательным для владельцев Биржевых облигаций, направивших заявки на продажу Биржевых облигаций самостоятельно или через Агента по продаже, является предварительное резервирование (до Даты активации) необходимого количества Биржевых облиг</w:t>
      </w:r>
      <w:r>
        <w:t>аций, приобретения которых требует их владелец, в депозитарии, осуществляющем учет прав на Биржевые облигации. Процедура контроля обеспечения по заявке, поданной в Период сбора заявок, осуществляется в момент активации такой заявки. В случае, если заявка н</w:t>
      </w:r>
      <w:r>
        <w:t>е проходит проверку обеспечения, данная заявка снимается Биржей.</w:t>
      </w:r>
      <w:r>
        <w:br/>
        <w:t>Заключение сделки по приобретению Биржевых облигаций на основании заявки, поданной в Период сбора заявок, осуществляется в Дату приобретения по требованию владельцев – 30 ноября 2023 года. Эм</w:t>
      </w:r>
      <w:r>
        <w:t>итент через Агента по приобретению в Дату приобретения по требованию владельцев в течение периода времени, согласованного с Биржей, обязуется подать встречные адресные заявки к заявкам владельцев Биржевых облигаций (выставленных владельцем Биржевых облигац</w:t>
      </w:r>
      <w:r>
        <w:t>ий или Агентом по продаже), прошедшим процедуру активации.</w:t>
      </w:r>
    </w:p>
    <w:p w:rsidR="00000000" w:rsidRDefault="00E11DCC">
      <w:pPr>
        <w:pStyle w:val="a3"/>
      </w:pPr>
      <w:r>
        <w:t xml:space="preserve">Приложение 1: </w:t>
      </w:r>
      <w:hyperlink r:id="rId4" w:tgtFrame="_blank" w:history="1">
        <w:r>
          <w:rPr>
            <w:rStyle w:val="a4"/>
          </w:rPr>
          <w:t>Адрес в сети Интернет, по которому можно ознакомиться с дополните</w:t>
        </w:r>
        <w:r>
          <w:rPr>
            <w:rStyle w:val="a4"/>
          </w:rPr>
          <w:t>льной документацией</w:t>
        </w:r>
      </w:hyperlink>
    </w:p>
    <w:p w:rsidR="00000000" w:rsidRDefault="00E11DCC">
      <w:pPr>
        <w:pStyle w:val="HTML"/>
      </w:pPr>
      <w:r>
        <w:t xml:space="preserve">По всем вопросам, связанным с настоящим сообщением, Вы можете обращаться к Вашим персональным менеджерам по телефонам: (495) 956-27-90, (495) 956-27-91/ </w:t>
      </w:r>
      <w:r>
        <w:lastRenderedPageBreak/>
        <w:t>For details please contact your account  manager (495) 956-27-90, (495) 956-27-91</w:t>
      </w:r>
    </w:p>
    <w:p w:rsidR="00000000" w:rsidRDefault="00E11DCC">
      <w:pPr>
        <w:rPr>
          <w:rFonts w:eastAsia="Times New Roman"/>
        </w:rPr>
      </w:pPr>
      <w:r>
        <w:rPr>
          <w:rFonts w:eastAsia="Times New Roman"/>
        </w:rPr>
        <w:br/>
      </w:r>
    </w:p>
    <w:p w:rsidR="00E11DCC" w:rsidRDefault="00E11DCC">
      <w:pPr>
        <w:pStyle w:val="HTML"/>
      </w:pPr>
      <w:r>
        <w:t>Настоящий документ является визуализированной формой электронного документа и содержит существенную информацию. Полная информация содержится непосредственно в электронном документе.</w:t>
      </w:r>
    </w:p>
    <w:sectPr w:rsidR="00E11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9D2420"/>
    <w:rsid w:val="009D2420"/>
    <w:rsid w:val="00E11DCC"/>
  </w:rsids>
  <m:mathPr>
    <m:mathFont m:val="Cambria Math"/>
    <m:brkBin m:val="before"/>
    <m:brkBinSub m:val="--"/>
    <m:smallFrac m:val="0"/>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0FCCD-11F0-4E8D-9775-028BF8345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6456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ba3a5b83aa144166a98921ed430749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Тулупов Дмитрий Николаевич</dc:creator>
  <cp:keywords/>
  <dc:description/>
  <cp:lastModifiedBy>Тулупов Дмитрий Николаевич</cp:lastModifiedBy>
  <cp:revision>2</cp:revision>
  <dcterms:created xsi:type="dcterms:W3CDTF">2023-11-10T04:23:00Z</dcterms:created>
  <dcterms:modified xsi:type="dcterms:W3CDTF">2023-11-10T04:23:00Z</dcterms:modified>
</cp:coreProperties>
</file>