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1BD0">
      <w:pPr>
        <w:pStyle w:val="a3"/>
        <w:divId w:val="207488529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748852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39952411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</w:p>
        </w:tc>
      </w:tr>
      <w:tr w:rsidR="00000000">
        <w:trPr>
          <w:divId w:val="20748852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</w:p>
        </w:tc>
      </w:tr>
      <w:tr w:rsidR="00000000">
        <w:trPr>
          <w:divId w:val="20748852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39800183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</w:p>
        </w:tc>
      </w:tr>
      <w:tr w:rsidR="00000000">
        <w:trPr>
          <w:divId w:val="20748852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488529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1B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1BD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</w:t>
            </w:r>
            <w:r>
              <w:rPr>
                <w:rFonts w:eastAsia="Times New Roman"/>
              </w:rPr>
              <w:t xml:space="preserve">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01BD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</w:tbl>
    <w:p w:rsidR="00000000" w:rsidRDefault="00501BD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B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</w:t>
            </w:r>
            <w:r>
              <w:rPr>
                <w:rFonts w:eastAsia="Times New Roman"/>
              </w:rPr>
              <w:t>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B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01BD0">
      <w:pPr>
        <w:rPr>
          <w:rFonts w:eastAsia="Times New Roman"/>
        </w:rPr>
      </w:pPr>
    </w:p>
    <w:p w:rsidR="00000000" w:rsidRDefault="00501B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1BD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размере, сроках и форме выплаты дивидендов по результатам 2019 года.</w:t>
      </w:r>
      <w:r>
        <w:rPr>
          <w:rFonts w:eastAsia="Times New Roman"/>
        </w:rPr>
        <w:br/>
        <w:t>5. О вознаграждении и компенсации расхо</w:t>
      </w:r>
      <w:r>
        <w:rPr>
          <w:rFonts w:eastAsia="Times New Roman"/>
        </w:rPr>
        <w:t>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</w:t>
      </w:r>
      <w:r>
        <w:rPr>
          <w:rFonts w:eastAsia="Times New Roman"/>
        </w:rPr>
        <w:t>.</w:t>
      </w:r>
    </w:p>
    <w:p w:rsidR="00000000" w:rsidRDefault="00501BD0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501BD0" w:rsidRDefault="00501BD0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2B13"/>
    <w:rsid w:val="00501BD0"/>
    <w:rsid w:val="00B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F0CA92-6081-49DB-B098-4A9BF91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2020-05-06T04:31:00Z</dcterms:created>
  <dcterms:modified xsi:type="dcterms:W3CDTF">2020-05-06T04:31:00Z</dcterms:modified>
</cp:coreProperties>
</file>