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85C">
      <w:pPr>
        <w:pStyle w:val="a3"/>
        <w:divId w:val="18777377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7737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85382130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</w:tr>
      <w:tr w:rsidR="00000000">
        <w:trPr>
          <w:divId w:val="1877737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</w:tr>
      <w:tr w:rsidR="00000000">
        <w:trPr>
          <w:divId w:val="1877737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85257690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</w:tr>
      <w:tr w:rsidR="00000000">
        <w:trPr>
          <w:divId w:val="1877737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737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85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2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832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</w:tr>
    </w:tbl>
    <w:p w:rsidR="00000000" w:rsidRDefault="00832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832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«ГМК «Норильский никель» по результатам девяти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ПАО «ГМК «Норильский никель» по результатам девяти меся</w:t>
            </w:r>
            <w:r>
              <w:rPr>
                <w:rFonts w:eastAsia="Times New Roman"/>
              </w:rPr>
              <w:t>цев 2023 года в денежной форме в размере 915,33 рубля на одну обыкновенную акцию. 2. Установить в качестве даты, на которую определяются лица, имеющие право на получение дивидендов, 26 декабря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дроблении акций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Осуществить дробление акций Компании на следующих условиях: </w:t>
            </w:r>
            <w:r>
              <w:rPr>
                <w:rFonts w:eastAsia="Times New Roman"/>
              </w:rPr>
              <w:t xml:space="preserve">1. Категория (тип) акций, в отношении которых осуществляется дробление: обыкновенные акции. 2. Количество акций, в отношении которых осуществляется дробление и их номинальная стоимость: 152 </w:t>
            </w:r>
            <w:r>
              <w:rPr>
                <w:rFonts w:eastAsia="Times New Roman"/>
              </w:rPr>
              <w:lastRenderedPageBreak/>
              <w:t>863 397 (Сто пятьдесят два миллиона восемьсот шестьдесят три тысяч</w:t>
            </w:r>
            <w:r>
              <w:rPr>
                <w:rFonts w:eastAsia="Times New Roman"/>
              </w:rPr>
              <w:t>и триста девяносто семь) штук номинальной стоимостью 1 (Один) рубль каждая. 3. Количество акций той же категории (типа), в которые конвертируется одна акция (коэффициент дробления): 100 (Сто). 1 (Одна) обыкновенная акция Компании номинальной стоимостью 1 (</w:t>
            </w:r>
            <w:r>
              <w:rPr>
                <w:rFonts w:eastAsia="Times New Roman"/>
              </w:rPr>
              <w:t>Один) рубль каждая конвертируется в 100 (Сто) обыкновенных акций Компании номинальной стоимостью 0,01 (Ноль целых одна сотая) рубля каждая. 4. Количество акций после дробления и их номинальная стоимость: 15 286 339 700 (Пятнадцать миллиардов двести восемьд</w:t>
            </w:r>
            <w:r>
              <w:rPr>
                <w:rFonts w:eastAsia="Times New Roman"/>
              </w:rPr>
              <w:t>есят шесть миллионов триста тридцать девять тысяч семьсот) штук номинальной стоимостью 0,01 (Ноль целых одна сотая) рубля каждая. 5. Дата конвертации акций (порядок определения даты конвертац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«ГМК «Норильский никель» в Ассоциации развития корпоративного спорта.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8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«ГМК «Норильский никель» в Ассоциации развития корпоративного спорта (ОГРН 1217700645095).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8328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285C">
      <w:pPr>
        <w:rPr>
          <w:rFonts w:eastAsia="Times New Roman"/>
        </w:rPr>
      </w:pPr>
    </w:p>
    <w:p w:rsidR="00000000" w:rsidRDefault="008328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285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2023 года. </w:t>
      </w:r>
      <w:r>
        <w:rPr>
          <w:rFonts w:eastAsia="Times New Roman"/>
        </w:rPr>
        <w:br/>
        <w:t xml:space="preserve">2. О дроблении акций ПАО «ГМК «Норильский никель».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3. Об участии ПАО «ГМК «Норильский никель» в Ассоциации развития корпоративного спорта</w:t>
      </w:r>
      <w:r>
        <w:rPr>
          <w:rFonts w:eastAsia="Times New Roman"/>
        </w:rPr>
        <w:t xml:space="preserve">. </w:t>
      </w:r>
    </w:p>
    <w:p w:rsidR="00000000" w:rsidRDefault="0083285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</w:t>
      </w:r>
      <w:r>
        <w:t>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328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28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p w:rsidR="00000000" w:rsidRDefault="0083285C">
      <w:pPr>
        <w:rPr>
          <w:rFonts w:eastAsia="Times New Roman"/>
        </w:rPr>
      </w:pPr>
      <w:r>
        <w:rPr>
          <w:rFonts w:eastAsia="Times New Roman"/>
        </w:rPr>
        <w:br/>
      </w:r>
    </w:p>
    <w:p w:rsidR="0083285C" w:rsidRDefault="008328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8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0399"/>
    <w:rsid w:val="0083285C"/>
    <w:rsid w:val="00F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91D32-540F-4EF6-9B8E-83C1D2E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9ae5dc7ce14c11865a7ae57aa55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2023-11-16T09:35:00Z</dcterms:created>
  <dcterms:modified xsi:type="dcterms:W3CDTF">2023-11-16T09:35:00Z</dcterms:modified>
</cp:coreProperties>
</file>