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67E" w:rsidRPr="00B1067E" w:rsidRDefault="00B1067E" w:rsidP="00B10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7E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B1067E" w:rsidRPr="00B1067E" w:rsidTr="00B1067E">
        <w:trPr>
          <w:tblCellSpacing w:w="7" w:type="dxa"/>
        </w:trPr>
        <w:tc>
          <w:tcPr>
            <w:tcW w:w="0" w:type="auto"/>
            <w:vAlign w:val="center"/>
            <w:hideMark/>
          </w:tcPr>
          <w:p w:rsidR="00B1067E" w:rsidRPr="00B1067E" w:rsidRDefault="00B1067E" w:rsidP="00B1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B1067E" w:rsidRPr="00B1067E" w:rsidRDefault="00B1067E" w:rsidP="00B1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111092776</w:t>
            </w:r>
          </w:p>
        </w:tc>
        <w:tc>
          <w:tcPr>
            <w:tcW w:w="0" w:type="auto"/>
            <w:vAlign w:val="center"/>
            <w:hideMark/>
          </w:tcPr>
          <w:p w:rsidR="00B1067E" w:rsidRPr="00B1067E" w:rsidRDefault="00B1067E" w:rsidP="00B1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7E" w:rsidRPr="00B1067E" w:rsidTr="00B1067E">
        <w:trPr>
          <w:tblCellSpacing w:w="7" w:type="dxa"/>
        </w:trPr>
        <w:tc>
          <w:tcPr>
            <w:tcW w:w="0" w:type="auto"/>
            <w:vAlign w:val="center"/>
            <w:hideMark/>
          </w:tcPr>
          <w:p w:rsidR="00B1067E" w:rsidRPr="00B1067E" w:rsidRDefault="00B1067E" w:rsidP="00B1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B1067E" w:rsidRPr="00B1067E" w:rsidRDefault="00B1067E" w:rsidP="00B1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B1067E" w:rsidRPr="00B1067E" w:rsidRDefault="00B1067E" w:rsidP="00B1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7E" w:rsidRPr="00B1067E" w:rsidTr="00B1067E">
        <w:trPr>
          <w:tblCellSpacing w:w="7" w:type="dxa"/>
        </w:trPr>
        <w:tc>
          <w:tcPr>
            <w:tcW w:w="0" w:type="auto"/>
            <w:vAlign w:val="center"/>
            <w:hideMark/>
          </w:tcPr>
          <w:p w:rsidR="00B1067E" w:rsidRPr="00B1067E" w:rsidRDefault="00B1067E" w:rsidP="00B1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B1067E" w:rsidRPr="00B1067E" w:rsidRDefault="00B1067E" w:rsidP="00B1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B1067E" w:rsidRPr="00B1067E" w:rsidRDefault="00B1067E" w:rsidP="00B1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B1067E" w:rsidRPr="00B1067E" w:rsidTr="00B1067E">
        <w:trPr>
          <w:tblCellSpacing w:w="7" w:type="dxa"/>
        </w:trPr>
        <w:tc>
          <w:tcPr>
            <w:tcW w:w="0" w:type="auto"/>
            <w:vAlign w:val="center"/>
            <w:hideMark/>
          </w:tcPr>
          <w:p w:rsidR="00B1067E" w:rsidRPr="00B1067E" w:rsidRDefault="00B1067E" w:rsidP="00B1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B1067E" w:rsidRPr="00B1067E" w:rsidRDefault="00B1067E" w:rsidP="00B1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B1067E" w:rsidRPr="00B1067E" w:rsidRDefault="00B1067E" w:rsidP="00B1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B1067E" w:rsidRPr="00B1067E" w:rsidRDefault="00B1067E" w:rsidP="00B106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1067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(INFO) О корпоративном действии "</w:t>
      </w:r>
      <w:bookmarkStart w:id="0" w:name="_GoBack"/>
      <w:r w:rsidRPr="00B1067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Информация" с ценными бумагами эмитента ПАО "Группа "</w:t>
      </w:r>
      <w:proofErr w:type="spellStart"/>
      <w:r w:rsidRPr="00B1067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Русагро</w:t>
      </w:r>
      <w:proofErr w:type="spellEnd"/>
      <w:r w:rsidRPr="00B1067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 ИНН 5003077160 (акция 1-01-14044-A</w:t>
      </w:r>
      <w:bookmarkEnd w:id="0"/>
      <w:r w:rsidRPr="00B1067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RU000A0JQUZ6)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8"/>
        <w:gridCol w:w="3201"/>
      </w:tblGrid>
      <w:tr w:rsidR="00B1067E" w:rsidRPr="00B1067E" w:rsidTr="00B1067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1067E" w:rsidRPr="00B1067E" w:rsidRDefault="00B1067E" w:rsidP="00B1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B1067E" w:rsidRPr="00B1067E" w:rsidTr="00B1067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067E" w:rsidRPr="00B1067E" w:rsidRDefault="00B1067E" w:rsidP="00B1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B1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067E" w:rsidRPr="00B1067E" w:rsidRDefault="00B1067E" w:rsidP="00B1067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1059908</w:t>
            </w:r>
          </w:p>
        </w:tc>
      </w:tr>
      <w:tr w:rsidR="00B1067E" w:rsidRPr="00B1067E" w:rsidTr="00B1067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067E" w:rsidRPr="00B1067E" w:rsidRDefault="00B1067E" w:rsidP="00B1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067E" w:rsidRPr="00B1067E" w:rsidRDefault="00B1067E" w:rsidP="00B1067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</w:t>
            </w:r>
          </w:p>
        </w:tc>
      </w:tr>
      <w:tr w:rsidR="00B1067E" w:rsidRPr="00B1067E" w:rsidTr="00B1067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067E" w:rsidRPr="00B1067E" w:rsidRDefault="00B1067E" w:rsidP="00B1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067E" w:rsidRPr="00B1067E" w:rsidRDefault="00B1067E" w:rsidP="00B1067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B1067E" w:rsidRPr="00B1067E" w:rsidTr="00B1067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067E" w:rsidRPr="00B1067E" w:rsidRDefault="00B1067E" w:rsidP="00B1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067E" w:rsidRPr="00B1067E" w:rsidRDefault="00B1067E" w:rsidP="00B1067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июля 2025 г.</w:t>
            </w:r>
          </w:p>
        </w:tc>
      </w:tr>
    </w:tbl>
    <w:p w:rsidR="00B1067E" w:rsidRPr="00B1067E" w:rsidRDefault="00B1067E" w:rsidP="00B106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8"/>
        <w:gridCol w:w="1238"/>
        <w:gridCol w:w="1862"/>
        <w:gridCol w:w="1303"/>
        <w:gridCol w:w="1427"/>
        <w:gridCol w:w="1508"/>
        <w:gridCol w:w="1596"/>
        <w:gridCol w:w="27"/>
      </w:tblGrid>
      <w:tr w:rsidR="00B1067E" w:rsidRPr="00B1067E" w:rsidTr="00B1067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B1067E" w:rsidRPr="00B1067E" w:rsidRDefault="00B1067E" w:rsidP="00B1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B1067E" w:rsidRPr="00B1067E" w:rsidTr="00B1067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1067E" w:rsidRPr="00B1067E" w:rsidRDefault="00B1067E" w:rsidP="00B1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0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B10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067E" w:rsidRPr="00B1067E" w:rsidRDefault="00B1067E" w:rsidP="00B1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067E" w:rsidRPr="00B1067E" w:rsidRDefault="00B1067E" w:rsidP="00B1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067E" w:rsidRPr="00B1067E" w:rsidRDefault="00B1067E" w:rsidP="00B1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067E" w:rsidRPr="00B1067E" w:rsidRDefault="00B1067E" w:rsidP="00B1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067E" w:rsidRPr="00B1067E" w:rsidRDefault="00B1067E" w:rsidP="00B1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067E" w:rsidRPr="00B1067E" w:rsidRDefault="00B1067E" w:rsidP="00B1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B1067E" w:rsidRPr="00B1067E" w:rsidRDefault="00B1067E" w:rsidP="00B1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67E" w:rsidRPr="00B1067E" w:rsidTr="00B1067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067E" w:rsidRPr="00B1067E" w:rsidRDefault="00B1067E" w:rsidP="00B1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1059908X82506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067E" w:rsidRPr="00B1067E" w:rsidRDefault="00B1067E" w:rsidP="00B1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"Группа "</w:t>
            </w:r>
            <w:proofErr w:type="spellStart"/>
            <w:r w:rsidRPr="00B1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Русагро</w:t>
            </w:r>
            <w:proofErr w:type="spellEnd"/>
            <w:r w:rsidRPr="00B1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067E" w:rsidRPr="00B1067E" w:rsidRDefault="00B1067E" w:rsidP="00B1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1-01-14044-A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067E" w:rsidRPr="00B1067E" w:rsidRDefault="00B1067E" w:rsidP="00B1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марта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067E" w:rsidRPr="00B1067E" w:rsidRDefault="00B1067E" w:rsidP="00B1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067E" w:rsidRPr="00B1067E" w:rsidRDefault="00B1067E" w:rsidP="00B1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GRRA/01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067E" w:rsidRPr="00B1067E" w:rsidRDefault="00B1067E" w:rsidP="00B1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RU000A0JQUZ6</w:t>
            </w:r>
          </w:p>
        </w:tc>
        <w:tc>
          <w:tcPr>
            <w:tcW w:w="0" w:type="auto"/>
            <w:vAlign w:val="center"/>
            <w:hideMark/>
          </w:tcPr>
          <w:p w:rsidR="00B1067E" w:rsidRPr="00B1067E" w:rsidRDefault="00B1067E" w:rsidP="00B1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067E" w:rsidRPr="00B1067E" w:rsidRDefault="00B1067E" w:rsidP="00B1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B1067E" w:rsidRPr="00B1067E" w:rsidTr="00B1067E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1067E" w:rsidRPr="00B1067E" w:rsidRDefault="00B1067E" w:rsidP="00B1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B1067E" w:rsidRPr="00B1067E" w:rsidTr="00B1067E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1067E" w:rsidRPr="00B1067E" w:rsidRDefault="00B1067E" w:rsidP="00B1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067E" w:rsidRPr="00B1067E" w:rsidRDefault="00B1067E" w:rsidP="00B1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0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B10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B1067E" w:rsidRPr="00B1067E" w:rsidTr="00B1067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067E" w:rsidRPr="00B1067E" w:rsidRDefault="00B1067E" w:rsidP="00B1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067E" w:rsidRPr="00B1067E" w:rsidRDefault="00B1067E" w:rsidP="00B1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1059907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067E" w:rsidRPr="00B1067E" w:rsidRDefault="00B1067E" w:rsidP="00B1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067E" w:rsidRPr="00B1067E" w:rsidRDefault="00B1067E" w:rsidP="00B1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67E" w:rsidRPr="00B1067E" w:rsidRDefault="00B1067E" w:rsidP="00B10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B1067E" w:rsidRPr="00B1067E" w:rsidRDefault="00B1067E" w:rsidP="00B10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B1067E" w:rsidRPr="00B1067E" w:rsidRDefault="00B1067E" w:rsidP="00B10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Рекомендации Совета директоров ПАО "Группа "</w:t>
      </w:r>
      <w:proofErr w:type="spellStart"/>
      <w:r w:rsidRPr="00B106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Русагро</w:t>
      </w:r>
      <w:proofErr w:type="spellEnd"/>
      <w:r w:rsidRPr="00B1067E">
        <w:rPr>
          <w:rFonts w:ascii="Times New Roman" w:eastAsia="Times New Roman" w:hAnsi="Times New Roman" w:cs="Times New Roman"/>
          <w:sz w:val="24"/>
          <w:szCs w:val="24"/>
          <w:lang w:eastAsia="ru-RU"/>
        </w:rPr>
        <w:t>" о распределении прибыли (в том числе выплате (объявлении) дивидендов) и убытков ПАО "Группа "</w:t>
      </w:r>
      <w:proofErr w:type="spellStart"/>
      <w:r w:rsidRPr="00B106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Русагро</w:t>
      </w:r>
      <w:proofErr w:type="spellEnd"/>
      <w:r w:rsidRPr="00B1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по результатам отчетного 2024 года согласно проекту, приведенному в Приложении 5, а также принимая во внимания, что: a. По итогам 2024 года объем капитальных затрат группы </w:t>
      </w:r>
      <w:proofErr w:type="spellStart"/>
      <w:r w:rsidRPr="00B106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Русагро</w:t>
      </w:r>
      <w:proofErr w:type="spellEnd"/>
      <w:r w:rsidRPr="00B1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увеличился на 57% до 29,6 млрд руб. Активная фаза реализации проектов роста, а также расширение затрат на поддержание операционной деятельности способствовали оттоку ликвидности на их реализацию. В 2025 году реализация части ключевых проектов развития продолжатся (в том числе, модернизация маслоэкстракционного завода, принадлежащего ООО "</w:t>
      </w:r>
      <w:proofErr w:type="spellStart"/>
      <w:r w:rsidRPr="00B106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Русагро</w:t>
      </w:r>
      <w:proofErr w:type="spellEnd"/>
      <w:r w:rsidRPr="00B1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-Аткарск", строительство инфраструктуры для долгосрочного хранения свеклы), что также потребует финансирования из собственных средств; b. Собственные средства группы </w:t>
      </w:r>
      <w:proofErr w:type="spellStart"/>
      <w:r w:rsidRPr="00B106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Русагро</w:t>
      </w:r>
      <w:proofErr w:type="spellEnd"/>
      <w:r w:rsidRPr="00B1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используются для реализации инвестиционной программы из-за возросшей стоимости привлечения долга. Для </w:t>
      </w:r>
      <w:r w:rsidRPr="00B106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реализации инвестиционных проектов ПАО "Группа "</w:t>
      </w:r>
      <w:proofErr w:type="spellStart"/>
      <w:r w:rsidRPr="00B106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Русагро</w:t>
      </w:r>
      <w:proofErr w:type="spellEnd"/>
      <w:r w:rsidRPr="00B1067E">
        <w:rPr>
          <w:rFonts w:ascii="Times New Roman" w:eastAsia="Times New Roman" w:hAnsi="Times New Roman" w:cs="Times New Roman"/>
          <w:sz w:val="24"/>
          <w:szCs w:val="24"/>
          <w:lang w:eastAsia="ru-RU"/>
        </w:rPr>
        <w:t>" использовало привлечение финансирования главным образом по гос. программам с субсидированием процентной ставки. Но при этом в большинстве кредитных линий используется плавающая ставка (ранее была фиксированная), что приводит к удорожанию обслуживания долга при высоком уровне ключевой ставки; c. Распределение прибыли в пользу реинвестирования в рост ПАО "Группа "</w:t>
      </w:r>
      <w:proofErr w:type="spellStart"/>
      <w:r w:rsidRPr="00B106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Русагро</w:t>
      </w:r>
      <w:proofErr w:type="spellEnd"/>
      <w:r w:rsidRPr="00B1067E">
        <w:rPr>
          <w:rFonts w:ascii="Times New Roman" w:eastAsia="Times New Roman" w:hAnsi="Times New Roman" w:cs="Times New Roman"/>
          <w:sz w:val="24"/>
          <w:szCs w:val="24"/>
          <w:lang w:eastAsia="ru-RU"/>
        </w:rPr>
        <w:t>" позволит обеспечить дополнительную EBITDA и рост акционерной стоимости для инвесторов в долгосрочной перспективе за счет реализации инвестиционных проектов и сокращения роста долговой нагрузки. Рекомендовать годовому общему собранию акционеров ПАО "Группа "</w:t>
      </w:r>
      <w:proofErr w:type="spellStart"/>
      <w:r w:rsidRPr="00B106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Русагро</w:t>
      </w:r>
      <w:proofErr w:type="spellEnd"/>
      <w:r w:rsidRPr="00B1067E">
        <w:rPr>
          <w:rFonts w:ascii="Times New Roman" w:eastAsia="Times New Roman" w:hAnsi="Times New Roman" w:cs="Times New Roman"/>
          <w:sz w:val="24"/>
          <w:szCs w:val="24"/>
          <w:lang w:eastAsia="ru-RU"/>
        </w:rPr>
        <w:t>" принять следующее решение: "Чистую прибыль ПАО "Группа "</w:t>
      </w:r>
      <w:proofErr w:type="spellStart"/>
      <w:r w:rsidRPr="00B106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Русагро</w:t>
      </w:r>
      <w:proofErr w:type="spellEnd"/>
      <w:r w:rsidRPr="00B1067E">
        <w:rPr>
          <w:rFonts w:ascii="Times New Roman" w:eastAsia="Times New Roman" w:hAnsi="Times New Roman" w:cs="Times New Roman"/>
          <w:sz w:val="24"/>
          <w:szCs w:val="24"/>
          <w:lang w:eastAsia="ru-RU"/>
        </w:rPr>
        <w:t>" по результатам 2024 г. в размере 2 394 889 000 (два миллиарда триста девяносто четыре миллиона восемьсот восемьдесят девять тысяч) рублей 00 копеек оставить в распоряжении ПАО "Группа "</w:t>
      </w:r>
      <w:proofErr w:type="spellStart"/>
      <w:r w:rsidRPr="00B106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Русагро</w:t>
      </w:r>
      <w:proofErr w:type="spellEnd"/>
      <w:r w:rsidRPr="00B1067E">
        <w:rPr>
          <w:rFonts w:ascii="Times New Roman" w:eastAsia="Times New Roman" w:hAnsi="Times New Roman" w:cs="Times New Roman"/>
          <w:sz w:val="24"/>
          <w:szCs w:val="24"/>
          <w:lang w:eastAsia="ru-RU"/>
        </w:rPr>
        <w:t>", направить на развитие. Дивиденды по обыкновенным акциям не выплачивать.".</w:t>
      </w:r>
    </w:p>
    <w:p w:rsidR="00B1067E" w:rsidRPr="00B1067E" w:rsidRDefault="00B1067E" w:rsidP="00B10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B106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B1067E" w:rsidRPr="00B1067E" w:rsidRDefault="00B1067E" w:rsidP="00B10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0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B1067E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B10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1067E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B10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1067E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B10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1067E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B10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1067E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B10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B1067E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B10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B1067E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B106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B1067E" w:rsidRPr="00B1067E" w:rsidRDefault="00B1067E" w:rsidP="00B1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1067E" w:rsidRPr="00B1067E" w:rsidRDefault="00B1067E" w:rsidP="00B10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067E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B1067E" w:rsidRDefault="00645765" w:rsidP="00B1067E"/>
    <w:sectPr w:rsidR="00645765" w:rsidRPr="00B1067E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0F5383"/>
    <w:rsid w:val="00274DAD"/>
    <w:rsid w:val="004E4F4E"/>
    <w:rsid w:val="00645765"/>
    <w:rsid w:val="0069224F"/>
    <w:rsid w:val="006E5DB1"/>
    <w:rsid w:val="00751AAC"/>
    <w:rsid w:val="00763580"/>
    <w:rsid w:val="00764FE7"/>
    <w:rsid w:val="007C70C8"/>
    <w:rsid w:val="00874C8F"/>
    <w:rsid w:val="009147D4"/>
    <w:rsid w:val="009C7239"/>
    <w:rsid w:val="00B1067E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7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F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C7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7C70C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C70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70C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4F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0eb450c0e274bb8b684bc98d8843f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2025-07-07T04:23:00Z</dcterms:created>
  <dcterms:modified xsi:type="dcterms:W3CDTF">2025-07-07T04:23:00Z</dcterms:modified>
</cp:coreProperties>
</file>