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6E5C">
      <w:pPr>
        <w:pStyle w:val="a3"/>
        <w:divId w:val="28982429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9824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106998339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</w:p>
        </w:tc>
      </w:tr>
      <w:tr w:rsidR="00000000">
        <w:trPr>
          <w:divId w:val="289824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</w:p>
        </w:tc>
      </w:tr>
      <w:tr w:rsidR="00000000">
        <w:trPr>
          <w:divId w:val="289824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106619020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</w:p>
        </w:tc>
      </w:tr>
      <w:tr w:rsidR="00000000">
        <w:trPr>
          <w:divId w:val="289824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98242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6E5C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5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006E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006E5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6E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lastRenderedPageBreak/>
              <w:t>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6E5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муниципальный округ Пресненский,</w:t>
            </w:r>
            <w:r>
              <w:rPr>
                <w:rFonts w:eastAsia="Times New Roman"/>
              </w:rPr>
              <w:t xml:space="preserve">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6E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006E5C">
      <w:pPr>
        <w:rPr>
          <w:rFonts w:eastAsia="Times New Roman"/>
        </w:rPr>
      </w:pPr>
    </w:p>
    <w:p w:rsidR="00000000" w:rsidRDefault="00006E5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06E5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«ЛУКОЙЛ» за 2024 год, годовой бухгалтерской (финансовой) отчетности ПАО «ЛУКОЙЛ». </w:t>
      </w:r>
      <w:r>
        <w:rPr>
          <w:rFonts w:eastAsia="Times New Roman"/>
        </w:rPr>
        <w:br/>
        <w:t xml:space="preserve">2. Распределение прибыли ПАО «ЛУКОЙЛ» (в том числе выплата (объявление) дивидендов) по результатам 2024 года. </w:t>
      </w:r>
      <w:r>
        <w:rPr>
          <w:rFonts w:eastAsia="Times New Roman"/>
        </w:rPr>
        <w:br/>
        <w:t>3. Избрание членов Совета д</w:t>
      </w:r>
      <w:r>
        <w:rPr>
          <w:rFonts w:eastAsia="Times New Roman"/>
        </w:rPr>
        <w:t xml:space="preserve">иректоров ПАО «ЛУКОЙЛ». </w:t>
      </w:r>
      <w:r>
        <w:rPr>
          <w:rFonts w:eastAsia="Times New Roman"/>
        </w:rPr>
        <w:br/>
        <w:t xml:space="preserve">4. О вознаграждении и компенсации расходов членам Совета директоров ПАО «ЛУКОЙЛ». </w:t>
      </w:r>
      <w:r>
        <w:rPr>
          <w:rFonts w:eastAsia="Times New Roman"/>
        </w:rPr>
        <w:br/>
        <w:t xml:space="preserve">5. Назначение аудиторской организации ПАО «ЛУКОЙЛ». </w:t>
      </w:r>
      <w:r>
        <w:rPr>
          <w:rFonts w:eastAsia="Times New Roman"/>
        </w:rPr>
        <w:br/>
        <w:t>6. Утверждение Устава Публичного акционерного общества «Нефтяная компания «ЛУКОЙЛ» в новой реда</w:t>
      </w:r>
      <w:r>
        <w:rPr>
          <w:rFonts w:eastAsia="Times New Roman"/>
        </w:rPr>
        <w:t xml:space="preserve">кции. </w:t>
      </w:r>
      <w:r>
        <w:rPr>
          <w:rFonts w:eastAsia="Times New Roman"/>
        </w:rPr>
        <w:br/>
        <w:t xml:space="preserve">7. Утверждение Положения об Общем собрании акционеров ПАО «ЛУКОЙЛ». </w:t>
      </w:r>
      <w:r>
        <w:rPr>
          <w:rFonts w:eastAsia="Times New Roman"/>
        </w:rPr>
        <w:br/>
        <w:t>8. Утверждение Положения о Совете директоров ПАО «ЛУКОЙЛ».</w:t>
      </w:r>
      <w:r>
        <w:rPr>
          <w:rFonts w:eastAsia="Times New Roman"/>
        </w:rPr>
        <w:t xml:space="preserve"> </w:t>
      </w:r>
    </w:p>
    <w:p w:rsidR="00000000" w:rsidRDefault="00006E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p w:rsidR="00000000" w:rsidRDefault="00006E5C">
      <w:pPr>
        <w:rPr>
          <w:rFonts w:eastAsia="Times New Roman"/>
        </w:rPr>
      </w:pPr>
      <w:r>
        <w:rPr>
          <w:rFonts w:eastAsia="Times New Roman"/>
        </w:rPr>
        <w:br/>
      </w:r>
    </w:p>
    <w:p w:rsidR="00006E5C" w:rsidRDefault="00006E5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00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7BC0"/>
    <w:rsid w:val="00006E5C"/>
    <w:rsid w:val="002B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14AAE9-24C8-4E75-8DF0-8794834C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2025-04-04T04:07:00Z</dcterms:created>
  <dcterms:modified xsi:type="dcterms:W3CDTF">2025-04-04T04:07:00Z</dcterms:modified>
</cp:coreProperties>
</file>