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973">
      <w:pPr>
        <w:pStyle w:val="a3"/>
        <w:divId w:val="11974239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742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33144697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</w:p>
        </w:tc>
      </w:tr>
      <w:tr w:rsidR="00000000">
        <w:trPr>
          <w:divId w:val="119742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</w:p>
        </w:tc>
      </w:tr>
      <w:tr w:rsidR="00000000">
        <w:trPr>
          <w:divId w:val="119742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423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69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1E6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E6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</w:tbl>
    <w:p w:rsidR="00000000" w:rsidRDefault="001E69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9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9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E6973">
      <w:pPr>
        <w:rPr>
          <w:rFonts w:eastAsia="Times New Roman"/>
        </w:rPr>
      </w:pPr>
    </w:p>
    <w:p w:rsidR="00000000" w:rsidRDefault="001E69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697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2018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2018 год.</w:t>
      </w:r>
      <w:r>
        <w:rPr>
          <w:rFonts w:eastAsia="Times New Roman"/>
        </w:rPr>
        <w:br/>
        <w:t>3. О распределении прибыли ПАО «Газпром нефть» за 201</w:t>
      </w:r>
      <w:r>
        <w:rPr>
          <w:rFonts w:eastAsia="Times New Roman"/>
        </w:rPr>
        <w:t>8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2018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Об определении количествен</w:t>
      </w:r>
      <w:r>
        <w:rPr>
          <w:rFonts w:eastAsia="Times New Roman"/>
        </w:rPr>
        <w:t>ного состава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2019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>10. О вознаграждении</w:t>
      </w:r>
      <w:r>
        <w:rPr>
          <w:rFonts w:eastAsia="Times New Roman"/>
        </w:rPr>
        <w:t xml:space="preserve"> членов Ревизионной комиссии ПАО «Газпром нефть». </w:t>
      </w:r>
    </w:p>
    <w:p w:rsidR="00000000" w:rsidRDefault="001E697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6973">
      <w:pPr>
        <w:pStyle w:val="a3"/>
      </w:pPr>
      <w:r>
        <w:t xml:space="preserve">4.2. Информация о созыве общего собрания </w:t>
      </w:r>
      <w:r>
        <w:t>акционеров эмитента.</w:t>
      </w:r>
    </w:p>
    <w:p w:rsidR="001E6973" w:rsidRDefault="001E69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E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45D"/>
    <w:rsid w:val="001E6973"/>
    <w:rsid w:val="005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450FF-CDEF-4776-BF18-AEA36CBC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2019-04-24T05:12:00Z</dcterms:created>
  <dcterms:modified xsi:type="dcterms:W3CDTF">2019-04-24T05:12:00Z</dcterms:modified>
</cp:coreProperties>
</file>