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6D7B">
      <w:pPr>
        <w:pStyle w:val="a3"/>
        <w:divId w:val="21427701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42770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77500560</w:t>
            </w:r>
          </w:p>
        </w:tc>
        <w:tc>
          <w:tcPr>
            <w:tcW w:w="0" w:type="auto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</w:p>
        </w:tc>
      </w:tr>
      <w:tr w:rsidR="00000000">
        <w:trPr>
          <w:divId w:val="2142770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</w:p>
        </w:tc>
      </w:tr>
      <w:tr w:rsidR="00000000">
        <w:trPr>
          <w:divId w:val="2142770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76127080</w:t>
            </w:r>
          </w:p>
        </w:tc>
        <w:tc>
          <w:tcPr>
            <w:tcW w:w="0" w:type="auto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</w:p>
        </w:tc>
      </w:tr>
      <w:tr w:rsidR="00000000">
        <w:trPr>
          <w:divId w:val="2142770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2770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6D7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D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788251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B6D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B6D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D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D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D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D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D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D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D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D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D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788251X7948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788251X12181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2B6D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D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D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D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</w:p>
        </w:tc>
      </w:tr>
    </w:tbl>
    <w:p w:rsidR="00000000" w:rsidRDefault="002B6D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3"/>
        <w:gridCol w:w="20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D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D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D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2B6D7B">
      <w:pPr>
        <w:rPr>
          <w:rFonts w:eastAsia="Times New Roman"/>
        </w:rPr>
      </w:pPr>
    </w:p>
    <w:p w:rsidR="00000000" w:rsidRDefault="002B6D7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B6D7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«Распадская» за 2022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и убытков ПАО «Распадская» по результатам 2022 года.</w:t>
      </w:r>
      <w:r>
        <w:rPr>
          <w:rFonts w:eastAsia="Times New Roman"/>
        </w:rPr>
        <w:br/>
        <w:t>3. Назначение аудиторской организации ПАО «Распадская».</w:t>
      </w:r>
      <w:r>
        <w:rPr>
          <w:rFonts w:eastAsia="Times New Roman"/>
        </w:rPr>
        <w:br/>
        <w:t>4. Утверждение Устава ПАО «Распадская» в новой редакции.</w:t>
      </w:r>
      <w:r>
        <w:rPr>
          <w:rFonts w:eastAsia="Times New Roman"/>
        </w:rPr>
        <w:br/>
        <w:t xml:space="preserve">5. Избрание членов </w:t>
      </w:r>
      <w:r>
        <w:rPr>
          <w:rFonts w:eastAsia="Times New Roman"/>
        </w:rPr>
        <w:t xml:space="preserve">Совета директоров ПАО «Распадская». </w:t>
      </w:r>
    </w:p>
    <w:p w:rsidR="00000000" w:rsidRDefault="002B6D7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</w:t>
      </w:r>
      <w:r>
        <w:t>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B6D7B">
      <w:pPr>
        <w:pStyle w:val="a3"/>
      </w:pPr>
      <w:r>
        <w:t>4.2 Информация о созыве общего собрания акционеров эми</w:t>
      </w:r>
      <w:r>
        <w:t>тента</w:t>
      </w:r>
    </w:p>
    <w:p w:rsidR="00000000" w:rsidRDefault="002B6D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B6D7B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B6D7B">
      <w:pPr>
        <w:rPr>
          <w:rFonts w:eastAsia="Times New Roman"/>
        </w:rPr>
      </w:pPr>
      <w:r>
        <w:rPr>
          <w:rFonts w:eastAsia="Times New Roman"/>
        </w:rPr>
        <w:br/>
      </w:r>
    </w:p>
    <w:p w:rsidR="002B6D7B" w:rsidRDefault="002B6D7B">
      <w:pPr>
        <w:pStyle w:val="HTML"/>
      </w:pPr>
      <w:r>
        <w:t>Настоящий документ является визуализированной формой</w:t>
      </w:r>
      <w:r>
        <w:t xml:space="preserve">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2DA3"/>
    <w:rsid w:val="002B6D7B"/>
    <w:rsid w:val="00E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877BBF-D31F-4B63-A988-5CB9B76D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8be52127b04ffbb48f81c99ab734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2023-04-24T04:52:00Z</dcterms:created>
  <dcterms:modified xsi:type="dcterms:W3CDTF">2023-04-24T04:52:00Z</dcterms:modified>
</cp:coreProperties>
</file>