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3CC3">
      <w:pPr>
        <w:pStyle w:val="a3"/>
        <w:divId w:val="17532359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323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103204846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</w:p>
        </w:tc>
      </w:tr>
      <w:tr w:rsidR="00000000">
        <w:trPr>
          <w:divId w:val="175323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</w:p>
        </w:tc>
      </w:tr>
      <w:tr w:rsidR="00000000">
        <w:trPr>
          <w:divId w:val="175323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103040165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</w:p>
        </w:tc>
      </w:tr>
      <w:tr w:rsidR="00000000">
        <w:trPr>
          <w:divId w:val="175323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3235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3CC3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"АЛЬФА-БАНК" ИНН 7728168971 (облигация 4B021801326B / ISIN RU000A0JX5W4)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</w:t>
            </w:r>
            <w:r>
              <w:rPr>
                <w:rFonts w:eastAsia="Times New Roman"/>
              </w:rPr>
              <w:t>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</w:tbl>
    <w:p w:rsidR="00000000" w:rsidRDefault="00853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4"/>
        <w:gridCol w:w="1992"/>
        <w:gridCol w:w="1394"/>
        <w:gridCol w:w="1164"/>
        <w:gridCol w:w="1734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991003X22960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4B021801326B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53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</w:t>
            </w:r>
            <w:r>
              <w:rPr>
                <w:rFonts w:eastAsia="Times New Roman"/>
              </w:rPr>
              <w:t xml:space="preserve">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 облигаций или порядок ее определения: 100% (Сто процентов) от непогашенной части номинальной стоимости Биржевых облигаций. В момент оплаты приобретаемых Биржевых облигаций Эмитент выплачивает дополнительно к цене приобретения накопленный </w:t>
            </w:r>
            <w:r>
              <w:rPr>
                <w:rFonts w:eastAsia="Times New Roman"/>
              </w:rPr>
              <w:t>купонный доход по Биржевым облигациям, рассчитанный на дату приобретения в соответствии с порядком, определенным Решением о выпуске ценных бумаг с учетом Изменений и Проспектом ценных бумаг.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2024 г. по 13 января 20</w:t>
            </w:r>
            <w:r>
              <w:rPr>
                <w:rFonts w:eastAsia="Times New Roman"/>
              </w:rPr>
              <w:t>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</w:t>
            </w:r>
            <w:r>
              <w:rPr>
                <w:rFonts w:eastAsia="Times New Roman"/>
              </w:rPr>
              <w:t>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Основание для приобретения эмитентом размещенных им облигаций: Установление размера </w:t>
            </w:r>
            <w:r>
              <w:rPr>
                <w:rFonts w:eastAsia="Times New Roman"/>
              </w:rPr>
              <w:t>процента (купона) по Биржевым облигациям в соответствии с Решением о выпуске ценных бумаг с учетом Изменений и Проспектом ценных бумаг.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853C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3C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3CC3">
            <w:pPr>
              <w:rPr>
                <w:rFonts w:eastAsia="Times New Roman"/>
              </w:rPr>
            </w:pPr>
          </w:p>
        </w:tc>
      </w:tr>
    </w:tbl>
    <w:p w:rsidR="00000000" w:rsidRDefault="00853CC3">
      <w:pPr>
        <w:rPr>
          <w:rFonts w:eastAsia="Times New Roman"/>
        </w:rPr>
      </w:pPr>
    </w:p>
    <w:p w:rsidR="00000000" w:rsidRDefault="00853C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3CC3">
      <w:pPr>
        <w:pStyle w:val="a3"/>
      </w:pPr>
      <w:r>
        <w:t>15.4 Информация о возникновении у владельцев облигаций права требовать от эмитента приобрет</w:t>
      </w:r>
      <w:r>
        <w:t xml:space="preserve">ения принадлежащих им облигаций </w:t>
      </w:r>
    </w:p>
    <w:p w:rsidR="00000000" w:rsidRDefault="00853CC3">
      <w:pPr>
        <w:pStyle w:val="a3"/>
      </w:pPr>
      <w:r>
        <w:t>1980289049</w:t>
      </w:r>
    </w:p>
    <w:p w:rsidR="00000000" w:rsidRDefault="00853C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000000" w:rsidRDefault="00853CC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53CC3">
      <w:pPr>
        <w:rPr>
          <w:rFonts w:eastAsia="Times New Roman"/>
        </w:rPr>
      </w:pPr>
      <w:r>
        <w:rPr>
          <w:rFonts w:eastAsia="Times New Roman"/>
        </w:rPr>
        <w:br/>
      </w:r>
    </w:p>
    <w:p w:rsidR="00853CC3" w:rsidRDefault="00853CC3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518F7"/>
    <w:rsid w:val="001518F7"/>
    <w:rsid w:val="008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D362D3-679B-4406-8256-5B761EED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cac25bed44057b1af72c06dcc3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2024-12-24T05:52:00Z</dcterms:created>
  <dcterms:modified xsi:type="dcterms:W3CDTF">2024-12-24T05:52:00Z</dcterms:modified>
</cp:coreProperties>
</file>