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3A35">
      <w:pPr>
        <w:pStyle w:val="a3"/>
        <w:divId w:val="205180675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518067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99849027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</w:p>
        </w:tc>
      </w:tr>
      <w:tr w:rsidR="00000000">
        <w:trPr>
          <w:divId w:val="20518067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</w:p>
        </w:tc>
      </w:tr>
      <w:tr w:rsidR="00000000">
        <w:trPr>
          <w:divId w:val="20518067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99795313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</w:p>
        </w:tc>
      </w:tr>
      <w:tr w:rsidR="00000000">
        <w:trPr>
          <w:divId w:val="20518067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18067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3A3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3A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93A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3A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A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A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A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A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A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A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A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A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955000X14654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</w:t>
            </w:r>
            <w:r>
              <w:rPr>
                <w:rFonts w:eastAsia="Times New Roman"/>
              </w:rPr>
              <w:t>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93A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3A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A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3A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</w:p>
        </w:tc>
      </w:tr>
    </w:tbl>
    <w:p w:rsidR="00000000" w:rsidRDefault="00193A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34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3A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3A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Регистратор, 678175, Республика Саха</w:t>
            </w:r>
            <w:r>
              <w:rPr>
                <w:rFonts w:eastAsia="Times New Roman"/>
              </w:rPr>
              <w:br/>
              <w:t>(Якутия), г. Мирный, ул. Ленина, д.6, АК «АЛРОСА» (ПАО)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</w:t>
            </w:r>
            <w:r>
              <w:rPr>
                <w:rFonts w:eastAsia="Times New Roman"/>
              </w:rPr>
              <w:t>reg.ru; www.e-vote.ru</w:t>
            </w:r>
          </w:p>
        </w:tc>
      </w:tr>
    </w:tbl>
    <w:p w:rsidR="00000000" w:rsidRDefault="00193A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93A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3A3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первого полугодия 2024 года, о размере дивидендов, о сроках и форме их выплаты и дате,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3A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Выплатить (объявить) промежуточные дивиденды по результатам первого полугодия 2024 года в размере 2 (два) рубля 49 (сорок девять) копеек на одну обыкновенную именную </w:t>
            </w:r>
            <w:r>
              <w:rPr>
                <w:rFonts w:eastAsia="Times New Roman"/>
              </w:rPr>
              <w:t>акцию АК «АЛРОСА» (ПАО) номинальной стоимостью 50 коп., что совокупно по всем обыкновенным именным акциям АК «АЛРОСА» (ПАО) составляет сумму в 18 338 764 418,70 руб. Дивиденды выплатить в денежной форме. Сумма начисленных дивидендов в расчете на одного акц</w:t>
            </w:r>
            <w:r>
              <w:rPr>
                <w:rFonts w:eastAsia="Times New Roman"/>
              </w:rPr>
              <w:t>ионера определяется с точностью до одной копейки.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</w:t>
            </w:r>
            <w:r>
              <w:rPr>
                <w:rFonts w:eastAsia="Times New Roman"/>
              </w:rPr>
              <w:t xml:space="preserve">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 2) Утвердить 19 октября 2024 года в качестве даты, на которую определяются лица, имеющие пр</w:t>
            </w:r>
            <w:r>
              <w:rPr>
                <w:rFonts w:eastAsia="Times New Roman"/>
              </w:rPr>
              <w:t>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3A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93A3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93A35">
      <w:pPr>
        <w:rPr>
          <w:rFonts w:eastAsia="Times New Roman"/>
        </w:rPr>
      </w:pPr>
    </w:p>
    <w:p w:rsidR="00000000" w:rsidRDefault="00193A3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93A35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 выплате дивидендов по результатам первого полугодия 2024 года, о размере дивидендов, о сроках и форме их выплаты и дате, на которую определяются лица, имеющие право на </w:t>
      </w:r>
      <w:r>
        <w:rPr>
          <w:rFonts w:eastAsia="Times New Roman"/>
        </w:rPr>
        <w:t xml:space="preserve">получение дивидендов. </w:t>
      </w:r>
    </w:p>
    <w:p w:rsidR="00000000" w:rsidRDefault="00193A35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</w:t>
      </w:r>
      <w:r>
        <w:t>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193A35">
      <w:pPr>
        <w:pStyle w:val="a3"/>
      </w:pPr>
      <w:r>
        <w:t>Электронная форма бюллетеня для голосования может быть заполнена в информационно-тел</w:t>
      </w:r>
      <w:r>
        <w:t>екоммуникационной сети «Интернет» по адресам: www.vtbreg.ru, www.e-vote.ru и в мобильном приложении «Кворум».</w:t>
      </w:r>
    </w:p>
    <w:p w:rsidR="00000000" w:rsidRDefault="00193A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93A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193A35">
      <w:pPr>
        <w:rPr>
          <w:rFonts w:eastAsia="Times New Roman"/>
        </w:rPr>
      </w:pPr>
      <w:r>
        <w:rPr>
          <w:rFonts w:eastAsia="Times New Roman"/>
        </w:rPr>
        <w:br/>
      </w:r>
    </w:p>
    <w:p w:rsidR="00193A35" w:rsidRDefault="00193A3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1961"/>
    <w:rsid w:val="00193A35"/>
    <w:rsid w:val="005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085B65-FF1C-49E2-AA87-376767F1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80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ba77b9183e4c25a789537abaa112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2024-09-11T04:53:00Z</dcterms:created>
  <dcterms:modified xsi:type="dcterms:W3CDTF">2024-09-11T04:53:00Z</dcterms:modified>
</cp:coreProperties>
</file>