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5F9E">
      <w:pPr>
        <w:pStyle w:val="a3"/>
        <w:divId w:val="321773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17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55844401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</w:p>
        </w:tc>
      </w:tr>
      <w:tr w:rsidR="00000000">
        <w:trPr>
          <w:divId w:val="3217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</w:p>
        </w:tc>
      </w:tr>
      <w:tr w:rsidR="00000000">
        <w:trPr>
          <w:divId w:val="3217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55369374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</w:p>
        </w:tc>
      </w:tr>
      <w:tr w:rsidR="00000000">
        <w:trPr>
          <w:divId w:val="3217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17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5F9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"Нижнекамскнефтехим" ИНН 1651000010 (акция 1-02-00096-A / ISIN RU0009100507)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619203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45F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51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619203X4637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445F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</w:p>
        </w:tc>
      </w:tr>
    </w:tbl>
    <w:p w:rsidR="00000000" w:rsidRDefault="00445F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40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сентября 2021 г. 13:00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"Нижнекамскнефтехим", ул. Соболековская, д.23, оф.129, г. Нижнекам</w:t>
            </w:r>
            <w:r>
              <w:rPr>
                <w:rFonts w:eastAsia="Times New Roman"/>
              </w:rPr>
              <w:br/>
              <w:t>ск, Нижнекамский р-н, Респ. Татарстан, 423574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</w:t>
            </w:r>
            <w:r>
              <w:rPr>
                <w:rFonts w:eastAsia="Times New Roman"/>
              </w:rPr>
              <w:t>есе не предоставлена</w:t>
            </w:r>
          </w:p>
        </w:tc>
      </w:tr>
    </w:tbl>
    <w:p w:rsidR="00000000" w:rsidRDefault="00445F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75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ПАО «Нижнекамскнефтехим» по результатам I полугодия 2021 г.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F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Начислить и выплатить дивиденды в денежной форме по акциям ПАО «Нижнекамскнефтехим» по результатам деятельности за I полугодие 2021 г.: – по обыкновенным акциям ПАО «Нижнекамскнефтехим» из расчёта 9,538 рубля на 1 акцию; – по привилегированным акциям ПА</w:t>
            </w:r>
            <w:r>
              <w:rPr>
                <w:rFonts w:eastAsia="Times New Roman"/>
              </w:rPr>
              <w:t>О «Нижнекамскнефтехим» из расчёта 9,538 рубля на 1 акцию (в соответствии с абз. 2 п. 7.6.1 Устава ПАО «Нижнекамскнефтехим»). 2) Осуществить выплату объявленных дивидендов в соответствии с п. 8 ст. 42 Федерального закона «Об акционерных обществах». Налогооб</w:t>
            </w:r>
            <w:r>
              <w:rPr>
                <w:rFonts w:eastAsia="Times New Roman"/>
              </w:rPr>
              <w:t xml:space="preserve">ложение выплачиваемых дивидендов осуществляется в порядке, предусмотренном законодательством РФ и международными соглашениями об избежании двойного налогообложения, действующего на дату выплаты дивидендов. 3) Установить дату, на которую определяются лица, </w:t>
            </w:r>
            <w:r>
              <w:rPr>
                <w:rFonts w:eastAsia="Times New Roman"/>
              </w:rPr>
              <w:t xml:space="preserve">имеющие право на получение дивидендов по акциям ПАО «Нижнекамскнефтехим», – 20 сентября 2021 г. 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45F9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45F9E">
      <w:pPr>
        <w:rPr>
          <w:rFonts w:eastAsia="Times New Roman"/>
        </w:rPr>
      </w:pPr>
    </w:p>
    <w:p w:rsidR="00000000" w:rsidRDefault="00445F9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45F9E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«Нижнекамскнефтехим» по результатам I полугодия 2021 г. </w:t>
      </w:r>
    </w:p>
    <w:p w:rsidR="00000000" w:rsidRDefault="00445F9E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45F9E">
      <w:pPr>
        <w:pStyle w:val="a3"/>
      </w:pPr>
      <w:r>
        <w:t>4.2. Информация о созыве общего собрания акционеров эмитента.</w:t>
      </w:r>
    </w:p>
    <w:p w:rsidR="00000000" w:rsidRDefault="00445F9E">
      <w:pPr>
        <w:pStyle w:val="a3"/>
      </w:pPr>
      <w:r>
        <w:t>Направляем Вам поступивший в Н</w:t>
      </w:r>
      <w:r>
        <w:t xml:space="preserve">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</w:t>
      </w:r>
      <w:r>
        <w:t>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45F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45F9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445F9E">
      <w:pPr>
        <w:rPr>
          <w:rFonts w:eastAsia="Times New Roman"/>
        </w:rPr>
      </w:pPr>
      <w:r>
        <w:rPr>
          <w:rFonts w:eastAsia="Times New Roman"/>
        </w:rPr>
        <w:br/>
      </w:r>
    </w:p>
    <w:p w:rsidR="00445F9E" w:rsidRDefault="00445F9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39D2"/>
    <w:rsid w:val="003539D2"/>
    <w:rsid w:val="0044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5113D-BA45-48AF-9432-89355EA7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ad1b79f1b14326b99b5f29fe3c8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2021-08-30T04:54:00Z</dcterms:created>
  <dcterms:modified xsi:type="dcterms:W3CDTF">2021-08-30T04:54:00Z</dcterms:modified>
</cp:coreProperties>
</file>