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4DF1">
      <w:pPr>
        <w:pStyle w:val="a3"/>
        <w:divId w:val="21337448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3744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88347597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</w:p>
        </w:tc>
      </w:tr>
      <w:tr w:rsidR="00000000">
        <w:trPr>
          <w:divId w:val="2133744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</w:p>
        </w:tc>
      </w:tr>
      <w:tr w:rsidR="00000000">
        <w:trPr>
          <w:divId w:val="2133744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3744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4DF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4B02-03-32432-H-001P / ISIN RU000A0JXE06)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</w:t>
            </w:r>
          </w:p>
        </w:tc>
      </w:tr>
    </w:tbl>
    <w:p w:rsidR="00000000" w:rsidRDefault="00164D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64D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64DF1">
      <w:pPr>
        <w:rPr>
          <w:rFonts w:eastAsia="Times New Roman"/>
        </w:rPr>
      </w:pPr>
    </w:p>
    <w:p w:rsidR="00000000" w:rsidRDefault="00164D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64DF1">
      <w:pPr>
        <w:pStyle w:val="a3"/>
      </w:pPr>
      <w:r>
        <w:t>20.1</w:t>
      </w:r>
      <w:r>
        <w:t>0 Информация об определении размера процента (купона) по облигациям</w:t>
      </w:r>
    </w:p>
    <w:p w:rsidR="00000000" w:rsidRDefault="00164D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164D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164DF1">
      <w:pPr>
        <w:rPr>
          <w:rFonts w:eastAsia="Times New Roman"/>
        </w:rPr>
      </w:pPr>
      <w:r>
        <w:rPr>
          <w:rFonts w:eastAsia="Times New Roman"/>
        </w:rPr>
        <w:br/>
      </w:r>
    </w:p>
    <w:p w:rsidR="00164DF1" w:rsidRDefault="00164D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72D3"/>
    <w:rsid w:val="00164DF1"/>
    <w:rsid w:val="002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558717-3C0D-4D58-A9C0-65FA7EC8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1d9242ea9545a694c6716a4cd40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2024-01-24T05:10:00Z</dcterms:created>
  <dcterms:modified xsi:type="dcterms:W3CDTF">2024-01-24T05:10:00Z</dcterms:modified>
</cp:coreProperties>
</file>