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110F">
      <w:pPr>
        <w:pStyle w:val="a3"/>
        <w:divId w:val="195647331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56473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76378567</w:t>
            </w:r>
          </w:p>
        </w:tc>
        <w:tc>
          <w:tcPr>
            <w:tcW w:w="0" w:type="auto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</w:p>
        </w:tc>
      </w:tr>
      <w:tr w:rsidR="00000000">
        <w:trPr>
          <w:divId w:val="1956473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</w:p>
        </w:tc>
      </w:tr>
      <w:tr w:rsidR="00000000">
        <w:trPr>
          <w:divId w:val="1956473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76199651</w:t>
            </w:r>
          </w:p>
        </w:tc>
        <w:tc>
          <w:tcPr>
            <w:tcW w:w="0" w:type="auto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</w:p>
        </w:tc>
      </w:tr>
      <w:tr w:rsidR="00000000">
        <w:trPr>
          <w:divId w:val="1956473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6473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110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Сбербанк ИНН 7707083893 (акции 10301481B / ISIN RU0009029540, 20301481B / ISIN RU0009029557)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1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788925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911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91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788925X8964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788925X8965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911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1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</w:p>
        </w:tc>
      </w:tr>
    </w:tbl>
    <w:p w:rsidR="00000000" w:rsidRDefault="006911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7"/>
        <w:gridCol w:w="42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1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апреля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11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</w:t>
            </w:r>
            <w:r>
              <w:rPr>
                <w:rFonts w:eastAsia="Times New Roman"/>
              </w:rPr>
              <w:t xml:space="preserve">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117997, город Москва, улица Вавилова, дом 19.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</w:t>
            </w:r>
            <w:r>
              <w:rPr>
                <w:rFonts w:eastAsia="Times New Roman"/>
              </w:rPr>
              <w:t xml:space="preserve">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www.sberbank.com/shareholder/</w:t>
            </w:r>
          </w:p>
        </w:tc>
      </w:tr>
    </w:tbl>
    <w:p w:rsidR="00000000" w:rsidRDefault="0069110F">
      <w:pPr>
        <w:rPr>
          <w:rFonts w:eastAsia="Times New Roman"/>
        </w:rPr>
      </w:pPr>
    </w:p>
    <w:p w:rsidR="00000000" w:rsidRDefault="0069110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9110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за 2022 год.</w:t>
      </w:r>
      <w:r>
        <w:rPr>
          <w:rFonts w:eastAsia="Times New Roman"/>
        </w:rPr>
        <w:br/>
        <w:t>2. О распределении прибыли и выплате дивидендов за 2022 год.</w:t>
      </w:r>
      <w:r>
        <w:rPr>
          <w:rFonts w:eastAsia="Times New Roman"/>
        </w:rPr>
        <w:br/>
      </w:r>
      <w:r>
        <w:rPr>
          <w:rFonts w:eastAsia="Times New Roman"/>
        </w:rPr>
        <w:t>3. О назначении аудиторской организации.</w:t>
      </w:r>
      <w:r>
        <w:rPr>
          <w:rFonts w:eastAsia="Times New Roman"/>
        </w:rPr>
        <w:br/>
        <w:t>4. Об избрании членов Наблюдательного совета.</w:t>
      </w:r>
      <w:r>
        <w:rPr>
          <w:rFonts w:eastAsia="Times New Roman"/>
        </w:rPr>
        <w:br/>
        <w:t>5. Об утверждении Устава в новой редакции</w:t>
      </w:r>
      <w:r>
        <w:rPr>
          <w:rFonts w:eastAsia="Times New Roman"/>
        </w:rPr>
        <w:t>.</w:t>
      </w:r>
    </w:p>
    <w:p w:rsidR="00000000" w:rsidRDefault="0069110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</w:t>
      </w:r>
      <w:r>
        <w:t>56-27-90, (495) 956-27-91/ For details please contact your account  manager (495) 956-27-90, (495) 956-27-91</w:t>
      </w:r>
    </w:p>
    <w:p w:rsidR="00000000" w:rsidRDefault="0069110F">
      <w:pPr>
        <w:rPr>
          <w:rFonts w:eastAsia="Times New Roman"/>
        </w:rPr>
      </w:pPr>
      <w:r>
        <w:rPr>
          <w:rFonts w:eastAsia="Times New Roman"/>
        </w:rPr>
        <w:br/>
      </w:r>
    </w:p>
    <w:p w:rsidR="0069110F" w:rsidRDefault="0069110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</w:t>
      </w:r>
      <w:r>
        <w:t>средственно в электронном документе.</w:t>
      </w:r>
    </w:p>
    <w:sectPr w:rsidR="00691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3C9A"/>
    <w:rsid w:val="0069110F"/>
    <w:rsid w:val="00A3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7456E8-F5A3-4956-9A13-0A6D8D6B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47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2023-03-23T10:40:00Z</dcterms:created>
  <dcterms:modified xsi:type="dcterms:W3CDTF">2023-03-23T10:40:00Z</dcterms:modified>
</cp:coreProperties>
</file>