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1BB5">
      <w:pPr>
        <w:pStyle w:val="a3"/>
        <w:divId w:val="18527225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2722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106810247</w:t>
            </w:r>
          </w:p>
        </w:tc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</w:p>
        </w:tc>
      </w:tr>
      <w:tr w:rsidR="00000000">
        <w:trPr>
          <w:divId w:val="1852722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</w:p>
        </w:tc>
      </w:tr>
      <w:tr w:rsidR="00000000">
        <w:trPr>
          <w:divId w:val="1852722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2722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1BB5">
      <w:pPr>
        <w:pStyle w:val="1"/>
        <w:rPr>
          <w:rFonts w:eastAsia="Times New Roman"/>
        </w:rPr>
      </w:pPr>
      <w:r>
        <w:rPr>
          <w:rFonts w:eastAsia="Times New Roman"/>
        </w:rPr>
        <w:t>(MCAL) О корпоративном действии "Досрочное обязательное погашение облигации" с ценными бумагами эмитента АО "ХК "МЕТАЛЛОИНВЕСТ" ИНН 7705392230 (облигация 4B02-03-25642-H / ISIN RU000A100YF3)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1024259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</w:t>
            </w:r>
            <w:r>
              <w:rPr>
                <w:rFonts w:eastAsia="Times New Roman"/>
              </w:rPr>
              <w:t>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2025 г.</w:t>
            </w:r>
          </w:p>
        </w:tc>
      </w:tr>
    </w:tbl>
    <w:p w:rsidR="00000000" w:rsidRDefault="00AF1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4B02-03-25642-H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F1B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1B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1B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F1BB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F1B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000000" w:rsidRDefault="00AF1BB5">
      <w:pPr>
        <w:rPr>
          <w:rFonts w:eastAsia="Times New Roman"/>
        </w:rPr>
      </w:pPr>
      <w:r>
        <w:rPr>
          <w:rFonts w:eastAsia="Times New Roman"/>
        </w:rPr>
        <w:br/>
      </w:r>
    </w:p>
    <w:p w:rsidR="00AF1BB5" w:rsidRDefault="00AF1BB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1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51E2"/>
    <w:rsid w:val="00AF1BB5"/>
    <w:rsid w:val="00A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D18DE4-C652-4B83-857E-DCD88A1F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2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2025-04-01T08:49:00Z</dcterms:created>
  <dcterms:modified xsi:type="dcterms:W3CDTF">2025-04-01T08:49:00Z</dcterms:modified>
</cp:coreProperties>
</file>