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5650">
      <w:pPr>
        <w:pStyle w:val="a3"/>
        <w:divId w:val="20498416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4984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29919296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</w:p>
        </w:tc>
      </w:tr>
      <w:tr w:rsidR="00000000">
        <w:trPr>
          <w:divId w:val="204984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</w:p>
        </w:tc>
      </w:tr>
      <w:tr w:rsidR="00000000">
        <w:trPr>
          <w:divId w:val="204984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29849314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</w:p>
        </w:tc>
      </w:tr>
      <w:tr w:rsidR="00000000">
        <w:trPr>
          <w:divId w:val="204984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984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56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5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B5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</w:tbl>
    <w:p w:rsidR="00000000" w:rsidRDefault="00DB5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www.e-vote.ru., 678175, Республика</w:t>
            </w:r>
            <w:r>
              <w:rPr>
                <w:rFonts w:eastAsia="Times New Roman"/>
              </w:rPr>
              <w:t xml:space="preserve">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56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5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DB5650">
      <w:pPr>
        <w:rPr>
          <w:rFonts w:eastAsia="Times New Roman"/>
        </w:rPr>
      </w:pPr>
    </w:p>
    <w:p w:rsidR="00000000" w:rsidRDefault="00DB56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5650">
      <w:pPr>
        <w:rPr>
          <w:rFonts w:eastAsia="Times New Roman"/>
        </w:rPr>
      </w:pPr>
      <w:r>
        <w:rPr>
          <w:rFonts w:eastAsia="Times New Roman"/>
        </w:rPr>
        <w:t>1. О размере дивидендов по результатам первого полугодия 2018 года, сроках и форме их выплаты и установлении даты, на которую определ</w:t>
      </w:r>
      <w:r>
        <w:rPr>
          <w:rFonts w:eastAsia="Times New Roman"/>
        </w:rPr>
        <w:t xml:space="preserve">яются лица, имеющие право на получение дивидендов. </w:t>
      </w:r>
    </w:p>
    <w:p w:rsidR="00000000" w:rsidRDefault="00DB5650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 и www.e-vote.ru. Голосование будет доступно с 06.09.2018. </w:t>
      </w:r>
    </w:p>
    <w:p w:rsidR="00000000" w:rsidRDefault="00DB565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B5650" w:rsidRDefault="00DB56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DB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2A38"/>
    <w:rsid w:val="00D32A38"/>
    <w:rsid w:val="00D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2018-09-04T11:41:00Z</dcterms:created>
  <dcterms:modified xsi:type="dcterms:W3CDTF">2018-09-04T11:41:00Z</dcterms:modified>
</cp:coreProperties>
</file>