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57E">
      <w:pPr>
        <w:pStyle w:val="a3"/>
        <w:divId w:val="105974131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974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22680803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</w:tr>
      <w:tr w:rsidR="00000000">
        <w:trPr>
          <w:divId w:val="105974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</w:tr>
      <w:tr w:rsidR="00000000">
        <w:trPr>
          <w:divId w:val="105974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22318545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</w:tr>
      <w:tr w:rsidR="00000000">
        <w:trPr>
          <w:divId w:val="105974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974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75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CB75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278070X8922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B75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7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2016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2979528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2980847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2980378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Усачева Валерия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2979528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2979565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2979678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Зуева Игоря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Голованову Елену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Коваля Александра Олеговича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Дать согласие на совершении сделки в которой имеется заинтересованность, - заключение Дополнительного соглашения к Договору поручительства №31/09-B-П-4 от 25.12.2015 ,заключенному Публичным акционерным обществом «Челябинский металлургическ</w:t>
            </w:r>
            <w:r>
              <w:rPr>
                <w:rFonts w:eastAsia="Times New Roman"/>
              </w:rPr>
              <w:t>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</w:t>
            </w:r>
            <w:r>
              <w:rPr>
                <w:rFonts w:eastAsia="Times New Roman"/>
              </w:rPr>
              <w:t>рная ответственность Поручителя в полном объеме перед Банком за исполнение Акционерным обществом холдинговая компания «Якутуголь» (Должник) его обязательств перед Кредитором, возникших из Договора об открытии кредитной линии № 31/09-В от 06 февраля 2009 го</w:t>
            </w:r>
            <w:r>
              <w:rPr>
                <w:rFonts w:eastAsia="Times New Roman"/>
              </w:rPr>
              <w:t>да, с учетом изменений, внесенных Дополнительным соглашением №1 от 24 февраля 2010 года, Дополнительным соглашением №2 от 31 декабря 2010 года, Дополнительным соглашением №3 от 29 июля 2011 года, Дополнительным соглашением №4 от 25 октября 2011 года, Допол</w:t>
            </w:r>
            <w:r>
              <w:rPr>
                <w:rFonts w:eastAsia="Times New Roman"/>
              </w:rPr>
              <w:t xml:space="preserve">нительным 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 Дать согласие на совершении сделки в которой имеется заинтересованность - заключение Дополнительного соглашения к </w:t>
            </w:r>
            <w:r>
              <w:rPr>
                <w:rFonts w:eastAsia="Times New Roman"/>
              </w:rPr>
              <w:t>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</w:t>
            </w:r>
            <w:r>
              <w:rPr>
                <w:rFonts w:eastAsia="Times New Roman"/>
              </w:rPr>
              <w:t>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Акционерным обществом холдинговая компания «Якутуголь» (</w:t>
            </w:r>
            <w:r>
              <w:rPr>
                <w:rFonts w:eastAsia="Times New Roman"/>
              </w:rPr>
              <w:t>Должник или Заемщик) его обязательств перед Кредитором, возникших из Договора об открытии кредитной линии № 226/12-В от 27 апреля 2012 года, с учетом изменений, внесенных Дополнительным соглашением №1 от 18 июня 2013 года, с учетом изменений, предусмотренн</w:t>
            </w:r>
            <w:r>
              <w:rPr>
                <w:rFonts w:eastAsia="Times New Roman"/>
              </w:rPr>
              <w:t xml:space="preserve">ых Дополнительным соглашением №2 от 20 августа 2015 года, Дополнительным соглашением № 1 от 25.12.2015 к Дополнительному соглашению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5.3. Дать согласие на совершении сделки в которой имеется заинтересованность - заключение Дополнительного соглашения к Договору поручительства №85/13-В-П-3 от 25.12.2015, заключенному Публичным акционерным обществом «Челябинский металлургический комбинат» </w:t>
            </w:r>
            <w:r>
              <w:rPr>
                <w:rFonts w:eastAsia="Times New Roman"/>
              </w:rPr>
              <w:t>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</w:t>
            </w:r>
            <w:r>
              <w:rPr>
                <w:rFonts w:eastAsia="Times New Roman"/>
              </w:rPr>
              <w:t>енность Поручителя в полном объеме перед Банком за исполнение Акционерным обществом холдинговая компания «Якутуголь» (Должник или Заемщик) его обязательств перед Кредитором, возникших из Договора об открытии кредитной линии №85/13-В от 26 апреля 2013 года,</w:t>
            </w:r>
            <w:r>
              <w:rPr>
                <w:rFonts w:eastAsia="Times New Roman"/>
              </w:rPr>
              <w:t xml:space="preserve"> с учетом изменений, внесенных Дополнительным соглашением №1 от 28 августа 2015 года, Дополнительным соглашением № 1 от 25.12.2015 к Дополнительному соглашению № 1 от 28.08.2015, Дополнительным соглашением № 2 от 31.03.2016 к Дополнительному соглашен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5.4. Дать согласие на совершении сделки в которой имеется заинтересованность - заключение Дополнительного соглашения к Договору поручительства №227/12-В-П-3 о</w:t>
            </w:r>
            <w:r>
              <w:rPr>
                <w:rFonts w:eastAsia="Times New Roman"/>
              </w:rPr>
              <w:t>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</w:t>
            </w:r>
            <w:r>
              <w:rPr>
                <w:rFonts w:eastAsia="Times New Roman"/>
              </w:rPr>
              <w:t>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Публичным акционерным обществом «Угольная компания «Южный Кузбасс» (Должник или Заемщик) его об</w:t>
            </w:r>
            <w:r>
              <w:rPr>
                <w:rFonts w:eastAsia="Times New Roman"/>
              </w:rPr>
              <w:t xml:space="preserve">язательств перед Кредитором, возникших из Договора об открытии кредитной линии № 227/12-В от 27 апреля 2012 года, с учетом изменений, внесенных Дополнительным соглашением №1 от 18 июня 2013 года, с учетом изменений, внесенных Дополнительным соглашением №2 </w:t>
            </w:r>
            <w:r>
              <w:rPr>
                <w:rFonts w:eastAsia="Times New Roman"/>
              </w:rPr>
              <w:t xml:space="preserve">от 20 августа 2015 года, Дополнительным соглашением №1 от 24.12.2015 к Дополнительному согла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5.5. Дать согласие на совершении сделки в которой имеется заинтересованность - заключение Дополнительного соглашения к Договору поручительства №84/13-В-П-2 от 25.12.2015, заключенному Публичным акционерным обществом «Челябинский металлургический комбинат» </w:t>
            </w:r>
            <w:r>
              <w:rPr>
                <w:rFonts w:eastAsia="Times New Roman"/>
              </w:rPr>
              <w:t>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</w:t>
            </w:r>
            <w:r>
              <w:rPr>
                <w:rFonts w:eastAsia="Times New Roman"/>
              </w:rPr>
              <w:t>енность Поручителя в полном объеме перед Банком за исполнение Публичным акционерным обществом «Угольная компания «Южный Кузбасс» (Должник или Заемщик) его обязательств перед Кредитором, возникших из Договора об открытии кредитной линии № 84/13-В от 26 апре</w:t>
            </w:r>
            <w:r>
              <w:rPr>
                <w:rFonts w:eastAsia="Times New Roman"/>
              </w:rPr>
              <w:t xml:space="preserve">ля 2013 года, с учетом изменений, внесенных Дополнительным соглашением №1 от 28 августа 2015 года, Дополнительным соглашением № 1 от 25.12.2015 к Дополнительному соглашению № 1 от 28.08.2015, Дополнительным соглашением № 2 от 31.03.2016 к Дополните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5.6. Дать согласие на совершении сделки в которой имеется заинтересованность – Дополнительное соглашение к Договору поручительства № 2612-195-К-З-П-4 от 3 марта</w:t>
            </w:r>
            <w:r>
              <w:rPr>
                <w:rFonts w:eastAsia="Times New Roman"/>
              </w:rPr>
              <w:t xml:space="preserve"> 2016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</w:t>
            </w:r>
            <w:r>
              <w:rPr>
                <w:rFonts w:eastAsia="Times New Roman"/>
              </w:rPr>
              <w:t>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(Должник) его обязате</w:t>
            </w:r>
            <w:r>
              <w:rPr>
                <w:rFonts w:eastAsia="Times New Roman"/>
              </w:rPr>
              <w:t>льств перед Кредитором по погашению (возврату) Доли основного долга по Кредитному соглашению об открытии кредитной линии № 2612-195-К от 3 мая 2012 года с учетом изменений, внесенных Дополнительным соглашением б/н от 9 ноября 2012 года и Дополнительным сог</w:t>
            </w:r>
            <w:r>
              <w:rPr>
                <w:rFonts w:eastAsia="Times New Roman"/>
              </w:rPr>
              <w:t xml:space="preserve">лашением б/н от 23 апреля 2013 года, заключенными между Кредитором и ООО «Мечел-Сервис» («Заемщ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5.7. Дать согласие на совершении сделки в которой имеется заинтересованность – Дополнительное соглашение к Договору поручительства № 2612-196-К-3-П-4 от 25 декабря 2015 года, заключенному Публичным акционерным обществом «Челябинский металлургический комбин</w:t>
            </w:r>
            <w:r>
              <w:rPr>
                <w:rFonts w:eastAsia="Times New Roman"/>
              </w:rPr>
              <w:t>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</w:t>
            </w:r>
            <w:r>
              <w:rPr>
                <w:rFonts w:eastAsia="Times New Roman"/>
              </w:rPr>
              <w:t xml:space="preserve">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(Должник) его обязательств перед Кредитором по погашению (возврату) Доли основного долга по Кредитному соглашению </w:t>
            </w:r>
            <w:r>
              <w:rPr>
                <w:rFonts w:eastAsia="Times New Roman"/>
              </w:rPr>
              <w:t>об открытии кредитной линии № 2612-196-К от 4 мая 2012 года с учетом изменений, внесенных Дополнительным соглашением б/н от 23 апреля 2013 года, переведенных в соответствии с Договором о переводе долга № 2612-196-К-3 от 4 декабря 2015 года, заключенным меж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5.8. Дать согласие на совершении сделки в которой имеется заинтересованность – Дополнительное соглашение к Договору поручительства </w:t>
            </w:r>
            <w:r>
              <w:rPr>
                <w:rFonts w:eastAsia="Times New Roman"/>
              </w:rPr>
              <w:t>№ 2613-172-К-П-2 от 28 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</w:t>
            </w:r>
            <w:r>
              <w:rPr>
                <w:rFonts w:eastAsia="Times New Roman"/>
              </w:rPr>
              <w:t>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обществом «Белорецкий металлургический комбинат»,</w:t>
            </w:r>
            <w:r>
              <w:rPr>
                <w:rFonts w:eastAsia="Times New Roman"/>
              </w:rPr>
              <w:t xml:space="preserve">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2613-172-К от 12 апреля 2013 года, с уч</w:t>
            </w:r>
            <w:r>
              <w:rPr>
                <w:rFonts w:eastAsia="Times New Roman"/>
              </w:rPr>
              <w:t xml:space="preserve">етом изменений, внесенных Дополнительным соглашением № 1 от 25 августа 2015, Дополнительным соглашением № 1 от 22 декабря 201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5.9. Дать согласие на совер</w:t>
            </w:r>
            <w:r>
              <w:rPr>
                <w:rFonts w:eastAsia="Times New Roman"/>
              </w:rPr>
              <w:t>шении сделки в которой имеется заинтересованность – Дополнительное соглашение к Договору поручительства № 2612-195-К-4-П-4 от 3 марта 2016 года, заключенному Публичным акционерным обществом «Челябинский металлургический комбинат» (Поручитель) с «Газпромбан</w:t>
            </w:r>
            <w:r>
              <w:rPr>
                <w:rFonts w:eastAsia="Times New Roman"/>
              </w:rPr>
              <w:t>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</w:t>
            </w:r>
            <w:r>
              <w:rPr>
                <w:rFonts w:eastAsia="Times New Roman"/>
              </w:rPr>
              <w:t>ь в полном объеме перед Банком за исполнение Обществом с ограниченной ответственностью «Челябинский завод по производству коксохимической продукции» (Должник) его обязательств перед Кредитором по погашению (возврату) Доли основного долга по Кредитному согл</w:t>
            </w:r>
            <w:r>
              <w:rPr>
                <w:rFonts w:eastAsia="Times New Roman"/>
              </w:rPr>
              <w:t xml:space="preserve">ашению об открытии кредитной линии № 2612-195-К от 3 мая 2012 года с учетом изменений, внесенных Дополнительным соглашением б/н от 9 ноября 2012 года и Дополнительным соглашением б/н от 23 апреля 2013 года, заключенными между Кре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5.10. Дать согласие на совершении сделки в которой имеется заинтересованность – Дополнительное соглашение к Договору поручительства № 2612-196-К-П-4 от 28 июня 2013 года, з</w:t>
            </w:r>
            <w:r>
              <w:rPr>
                <w:rFonts w:eastAsia="Times New Roman"/>
              </w:rPr>
              <w:t>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</w:t>
            </w:r>
            <w:r>
              <w:rPr>
                <w:rFonts w:eastAsia="Times New Roman"/>
              </w:rPr>
              <w:t xml:space="preserve">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«МЕЧЕЛ-ЭНЕРГО» (Заемщик) его обязательств перед Кредитором </w:t>
            </w:r>
            <w:r>
              <w:rPr>
                <w:rFonts w:eastAsia="Times New Roman"/>
              </w:rPr>
              <w:t>по погашению (возврату) Доли основного долга по Кредитному соглашению об открытии кредитной линии № 2612-196-К от 4 мая 2012 года с учетом изменений, внесенных Дополнительным соглашением б/н от 23 апреля 2013 года, Дополнительным соглашением № 2 от 22 дека</w:t>
            </w:r>
            <w:r>
              <w:rPr>
                <w:rFonts w:eastAsia="Times New Roman"/>
              </w:rPr>
              <w:t xml:space="preserve">бря 2015, Дополнительным соглашением № 3 от 16 июня 2016 года («Кредитное соглашение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5.11. Дать согласие на совершении сделки в которой имеется заинтересованность – Дополнительное соглашение к Договору поручительства № 2613-173-К-П-3 от 28 июня 2013 года, заключенному Публичным акционерным обществом «Челябинский металлургический комбинат» </w:t>
            </w:r>
            <w:r>
              <w:rPr>
                <w:rFonts w:eastAsia="Times New Roman"/>
              </w:rPr>
              <w:t>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</w:t>
            </w:r>
            <w:r>
              <w:rPr>
                <w:rFonts w:eastAsia="Times New Roman"/>
              </w:rPr>
              <w:t>енность Поручителя отвечать в полном объеме перед Банком за исполнение Публичным акционерным обществом «Уральская кузница», (Должник или Заемщик), отвечать перед «Газпромбанк» (Акционерное общество) (Банк, Кредитор) за исполнение Должником его обязательств</w:t>
            </w:r>
            <w:r>
              <w:rPr>
                <w:rFonts w:eastAsia="Times New Roman"/>
              </w:rPr>
              <w:t xml:space="preserve"> перед Кредитором, возникших из Кредитного соглашения об открытии кредитной линии № 2613-173-К от 12 апреля 2013 года, с учетом изменений, внесенных Дополнительным соглашением № 1 от 25 августа 2015, Дополнительным соглашением № 1 от 18 декабря 2015 к Допо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1.12. Одобрить сделку, в совершении которой имеется заинтересованность – Дополнительное соглашение к Договору поручительства № 2612-195-К-П-4 от 28 июн</w:t>
            </w:r>
            <w:r>
              <w:rPr>
                <w:rFonts w:eastAsia="Times New Roman"/>
              </w:rPr>
              <w:t>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</w:t>
            </w:r>
            <w:r>
              <w:rPr>
                <w:rFonts w:eastAsia="Times New Roman"/>
              </w:rPr>
              <w:t xml:space="preserve">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«Мечел-Сервис» (Заемщик) его обязательств пер</w:t>
            </w:r>
            <w:r>
              <w:rPr>
                <w:rFonts w:eastAsia="Times New Roman"/>
              </w:rPr>
              <w:t>ед Кредитором по погашению (возврату) Доли основного долга по Кредитному соглашению об открытии кредитной линии № 2612-195-К от 3 мая 2012 года с учетом изменений, внесенных Дополнительным соглашением б/н от 9 ноября 2012 года, Дополнительным соглашением б</w:t>
            </w:r>
            <w:r>
              <w:rPr>
                <w:rFonts w:eastAsia="Times New Roman"/>
              </w:rPr>
              <w:t xml:space="preserve">/н от 23 апреля 2013 года, Дополнительным соглашением № 3 от 4 февраля 2016 года, Дополнительным соглашени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B757E">
      <w:pPr>
        <w:rPr>
          <w:rFonts w:eastAsia="Times New Roman"/>
        </w:rPr>
      </w:pPr>
    </w:p>
    <w:p w:rsidR="00000000" w:rsidRDefault="00CB757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CB757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B75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757E" w:rsidRDefault="00CB75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CB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3805"/>
    <w:rsid w:val="00A63805"/>
    <w:rsid w:val="00C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17f2e858004574bfc6980eb39e10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2669</Words>
  <Characters>15218</Characters>
  <Application>Microsoft Office Word</Application>
  <DocSecurity>0</DocSecurity>
  <Lines>126</Lines>
  <Paragraphs>35</Paragraphs>
  <ScaleCrop>false</ScaleCrop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2017-05-04T04:39:00Z</dcterms:created>
  <dcterms:modified xsi:type="dcterms:W3CDTF">2017-05-04T04:39:00Z</dcterms:modified>
</cp:coreProperties>
</file>