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EF0">
      <w:pPr>
        <w:pStyle w:val="a3"/>
        <w:divId w:val="4136288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3628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35605532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</w:p>
        </w:tc>
      </w:tr>
      <w:tr w:rsidR="00000000">
        <w:trPr>
          <w:divId w:val="413628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</w:p>
        </w:tc>
      </w:tr>
      <w:tr w:rsidR="00000000">
        <w:trPr>
          <w:divId w:val="413628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35585341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</w:p>
        </w:tc>
      </w:tr>
      <w:tr w:rsidR="00000000">
        <w:trPr>
          <w:divId w:val="413628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3628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E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71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71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</w:tbl>
    <w:p w:rsidR="00000000" w:rsidRDefault="00171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Электронная форма бюллетеней для </w:t>
            </w:r>
            <w:r>
              <w:rPr>
                <w:rFonts w:eastAsia="Times New Roman"/>
              </w:rPr>
              <w:lastRenderedPageBreak/>
              <w:t>голосов</w:t>
            </w:r>
            <w:r>
              <w:rPr>
                <w:rFonts w:eastAsia="Times New Roman"/>
              </w:rPr>
              <w:t>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</w:t>
            </w:r>
            <w:r>
              <w:rPr>
                <w:rFonts w:eastAsia="Times New Roman"/>
              </w:rPr>
              <w:t>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171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дивидендов по результатам первого полугодия 2019 года, о размере дивидендов, о сроках и форме их выплаты и дате,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E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Выплатить (объявить) дивиденды по результатам первого полугодия 2019 г. в размере 3 руб. 84 коп. на одну обыкновенную именную акцию АК «АЛРОСА» (ПАО) номинальной стоимостью 50 коп. из чистой прибыли АК «АЛРОСА» (ПАО) по результатам первого полугодия 201</w:t>
            </w:r>
            <w:r>
              <w:rPr>
                <w:rFonts w:eastAsia="Times New Roman"/>
              </w:rPr>
              <w:t>9 г., что совокупно по всем обыкновенным именным акциям АК «АЛРОСА» (ПАО) составляет 28 281 468 019,20 руб. Дивиденды выплатить в денежной форме. Сумма начисленных дивидендов в расчете на одного акционера определяется с точностью до одной копейки. Срок вып</w:t>
            </w:r>
            <w:r>
              <w:rPr>
                <w:rFonts w:eastAsia="Times New Roman"/>
              </w:rPr>
              <w:t>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</w:t>
            </w:r>
            <w:r>
              <w:rPr>
                <w:rFonts w:eastAsia="Times New Roman"/>
              </w:rPr>
              <w:t xml:space="preserve">неров лицам – 25 рабочих дней с даты, на которую определяются лица, имеющие право на получение дивидендов. 2) Утвердить 14 октября 2019 г.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71E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1EF0">
      <w:pPr>
        <w:rPr>
          <w:rFonts w:eastAsia="Times New Roman"/>
        </w:rPr>
      </w:pPr>
    </w:p>
    <w:p w:rsidR="00000000" w:rsidRDefault="00171E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1EF0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2019 года, о размере дивидендов, о сроках и форме их выплаты и дате, на которую определяются лица, имеющие право на получение дивидендов. </w:t>
      </w:r>
    </w:p>
    <w:p w:rsidR="00000000" w:rsidRDefault="00171EF0">
      <w:pPr>
        <w:pStyle w:val="a3"/>
      </w:pPr>
      <w:r>
        <w:t>Направляем Вам поступивший в НКО АО НРД электронный</w:t>
      </w:r>
      <w:r>
        <w:t xml:space="preserve">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</w:t>
      </w:r>
      <w:r>
        <w:t>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71EF0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www.vtbreg.ru, www.e-vote.</w:t>
      </w:r>
      <w:r>
        <w:t xml:space="preserve">ru и мобильном приложении "Кворум". </w:t>
      </w:r>
    </w:p>
    <w:p w:rsidR="00000000" w:rsidRDefault="00171E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1EF0" w:rsidRDefault="00171E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7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7A1E"/>
    <w:rsid w:val="00171EF0"/>
    <w:rsid w:val="00C2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8B10B8-FB5A-4B85-82C5-F3D7A0AB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62664abadd43f1930fca625a9216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2019-09-09T08:59:00Z</dcterms:created>
  <dcterms:modified xsi:type="dcterms:W3CDTF">2019-09-09T08:59:00Z</dcterms:modified>
</cp:coreProperties>
</file>