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04CF">
      <w:pPr>
        <w:pStyle w:val="a3"/>
        <w:divId w:val="10111040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1104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23053439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</w:p>
        </w:tc>
      </w:tr>
      <w:tr w:rsidR="00000000">
        <w:trPr>
          <w:divId w:val="1011104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</w:p>
        </w:tc>
      </w:tr>
      <w:tr w:rsidR="00000000">
        <w:trPr>
          <w:divId w:val="1011104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22974597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</w:p>
        </w:tc>
      </w:tr>
      <w:tr w:rsidR="00000000">
        <w:trPr>
          <w:divId w:val="1011104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104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04C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  <w:r>
              <w:rPr>
                <w:rFonts w:eastAsia="Times New Roman"/>
              </w:rPr>
              <w:t>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6D0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D0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289189</w:t>
            </w:r>
          </w:p>
        </w:tc>
      </w:tr>
    </w:tbl>
    <w:p w:rsidR="00000000" w:rsidRDefault="006D04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9"/>
        <w:gridCol w:w="4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г. Москва, ул. Стромынка, д.18, а/я 9, АО «Р</w:t>
            </w:r>
            <w:r>
              <w:rPr>
                <w:rFonts w:eastAsia="Times New Roman"/>
              </w:rPr>
              <w:br/>
              <w:t>егистратор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04C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04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D04CF">
      <w:pPr>
        <w:rPr>
          <w:rFonts w:eastAsia="Times New Roman"/>
        </w:rPr>
      </w:pPr>
    </w:p>
    <w:p w:rsidR="00000000" w:rsidRDefault="006D04C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04C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 2. Утверждение годовой бухгалтерской отчетности, в том числе отчетов о прибылях и убытках (счетов прибылей и убытков) Общества. 3. Утверждение распределения прибыли Общества по результатам 2016 года. 4. О р</w:t>
      </w:r>
      <w:r>
        <w:rPr>
          <w:rFonts w:eastAsia="Times New Roman"/>
        </w:rPr>
        <w:t>азмере, сроках и форме выплаты дивидендов по результатам 2016 года. 5. Избрание членов совета директоров (наблюдательного совета) Общества. 6. Избрание членов ревизионной комиссии (ревизора) Общества. 7. Утверждение аудитора Общества. 8. Об утверждении Уст</w:t>
      </w:r>
      <w:r>
        <w:rPr>
          <w:rFonts w:eastAsia="Times New Roman"/>
        </w:rPr>
        <w:t>ава Общества в новой редакции. 9. Об утверждении внутреннего документа Общества: Положения об Общем собрании акционеров Общества в новой редакции. 10. Об утверждении внутреннего документа Общества: Положения о Совете директоров Общества в новой редакции. 1</w:t>
      </w:r>
      <w:r>
        <w:rPr>
          <w:rFonts w:eastAsia="Times New Roman"/>
        </w:rPr>
        <w:t xml:space="preserve">1. Об утверждении внутреннего документа Общества: Положения о Ревизионной комиссии Общества в новой редакции. 12. О прекращении участия ПАО «Кубаньэнерго» в СОЮЗЕ «ЭНЕРГОСТРОЙ». </w:t>
      </w:r>
    </w:p>
    <w:p w:rsidR="00000000" w:rsidRDefault="006D04CF">
      <w:pPr>
        <w:pStyle w:val="a3"/>
      </w:pPr>
      <w:r>
        <w:t>4.8. Содержание (текст) бюллетеней для голосования на общем собрании акционер</w:t>
      </w:r>
      <w:r>
        <w:t>ов (Положение 546-П от 01.06.2016).</w:t>
      </w:r>
    </w:p>
    <w:p w:rsidR="00000000" w:rsidRDefault="006D04C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D04CF" w:rsidRDefault="006D04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6D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366C"/>
    <w:rsid w:val="006D04CF"/>
    <w:rsid w:val="00C8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2017-05-29T04:43:00Z</dcterms:created>
  <dcterms:modified xsi:type="dcterms:W3CDTF">2017-05-29T04:43:00Z</dcterms:modified>
</cp:coreProperties>
</file>