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153AA">
      <w:pPr>
        <w:pStyle w:val="a3"/>
        <w:divId w:val="415176988"/>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415176988"/>
          <w:tblCellSpacing w:w="7" w:type="dxa"/>
        </w:trPr>
        <w:tc>
          <w:tcPr>
            <w:tcW w:w="0" w:type="auto"/>
            <w:vAlign w:val="center"/>
            <w:hideMark/>
          </w:tcPr>
          <w:p w:rsidR="00000000" w:rsidRDefault="004153AA">
            <w:pPr>
              <w:rPr>
                <w:rFonts w:eastAsia="Times New Roman"/>
              </w:rPr>
            </w:pPr>
            <w:r>
              <w:rPr>
                <w:rFonts w:eastAsia="Times New Roman"/>
              </w:rPr>
              <w:t>Сообщение</w:t>
            </w:r>
          </w:p>
        </w:tc>
        <w:tc>
          <w:tcPr>
            <w:tcW w:w="0" w:type="auto"/>
            <w:vAlign w:val="center"/>
            <w:hideMark/>
          </w:tcPr>
          <w:p w:rsidR="00000000" w:rsidRDefault="004153AA">
            <w:pPr>
              <w:rPr>
                <w:rFonts w:eastAsia="Times New Roman"/>
              </w:rPr>
            </w:pPr>
            <w:r>
              <w:rPr>
                <w:rFonts w:eastAsia="Times New Roman"/>
              </w:rPr>
              <w:t>№ 79723506</w:t>
            </w:r>
          </w:p>
        </w:tc>
        <w:tc>
          <w:tcPr>
            <w:tcW w:w="0" w:type="auto"/>
            <w:vAlign w:val="center"/>
            <w:hideMark/>
          </w:tcPr>
          <w:p w:rsidR="00000000" w:rsidRDefault="004153AA">
            <w:pPr>
              <w:rPr>
                <w:rFonts w:eastAsia="Times New Roman"/>
              </w:rPr>
            </w:pPr>
          </w:p>
        </w:tc>
      </w:tr>
      <w:tr w:rsidR="00000000">
        <w:trPr>
          <w:divId w:val="415176988"/>
          <w:tblCellSpacing w:w="7" w:type="dxa"/>
        </w:trPr>
        <w:tc>
          <w:tcPr>
            <w:tcW w:w="0" w:type="auto"/>
            <w:vAlign w:val="center"/>
            <w:hideMark/>
          </w:tcPr>
          <w:p w:rsidR="00000000" w:rsidRDefault="004153AA">
            <w:pPr>
              <w:rPr>
                <w:rFonts w:eastAsia="Times New Roman"/>
              </w:rPr>
            </w:pPr>
            <w:r>
              <w:rPr>
                <w:rFonts w:eastAsia="Times New Roman"/>
              </w:rPr>
              <w:t>Функция сообщения:</w:t>
            </w:r>
          </w:p>
        </w:tc>
        <w:tc>
          <w:tcPr>
            <w:tcW w:w="0" w:type="auto"/>
            <w:vAlign w:val="center"/>
            <w:hideMark/>
          </w:tcPr>
          <w:p w:rsidR="00000000" w:rsidRDefault="004153AA">
            <w:pPr>
              <w:rPr>
                <w:rFonts w:eastAsia="Times New Roman"/>
              </w:rPr>
            </w:pPr>
            <w:r>
              <w:rPr>
                <w:rFonts w:eastAsia="Times New Roman"/>
              </w:rPr>
              <w:t>Повторное сообщение</w:t>
            </w:r>
          </w:p>
        </w:tc>
        <w:tc>
          <w:tcPr>
            <w:tcW w:w="0" w:type="auto"/>
            <w:vAlign w:val="center"/>
            <w:hideMark/>
          </w:tcPr>
          <w:p w:rsidR="00000000" w:rsidRDefault="004153AA">
            <w:pPr>
              <w:rPr>
                <w:rFonts w:eastAsia="Times New Roman"/>
              </w:rPr>
            </w:pPr>
          </w:p>
        </w:tc>
      </w:tr>
      <w:tr w:rsidR="00000000">
        <w:trPr>
          <w:divId w:val="415176988"/>
          <w:tblCellSpacing w:w="7" w:type="dxa"/>
        </w:trPr>
        <w:tc>
          <w:tcPr>
            <w:tcW w:w="0" w:type="auto"/>
            <w:vAlign w:val="center"/>
            <w:hideMark/>
          </w:tcPr>
          <w:p w:rsidR="00000000" w:rsidRDefault="004153AA">
            <w:pPr>
              <w:rPr>
                <w:rFonts w:eastAsia="Times New Roman"/>
              </w:rPr>
            </w:pPr>
            <w:r>
              <w:rPr>
                <w:rFonts w:eastAsia="Times New Roman"/>
              </w:rPr>
              <w:t>Предыдущее сообщение:</w:t>
            </w:r>
          </w:p>
        </w:tc>
        <w:tc>
          <w:tcPr>
            <w:tcW w:w="0" w:type="auto"/>
            <w:vAlign w:val="center"/>
            <w:hideMark/>
          </w:tcPr>
          <w:p w:rsidR="00000000" w:rsidRDefault="004153AA">
            <w:pPr>
              <w:rPr>
                <w:rFonts w:eastAsia="Times New Roman"/>
              </w:rPr>
            </w:pPr>
            <w:r>
              <w:rPr>
                <w:rFonts w:eastAsia="Times New Roman"/>
              </w:rPr>
              <w:t>№ 78782519</w:t>
            </w:r>
          </w:p>
        </w:tc>
        <w:tc>
          <w:tcPr>
            <w:tcW w:w="0" w:type="auto"/>
            <w:vAlign w:val="center"/>
            <w:hideMark/>
          </w:tcPr>
          <w:p w:rsidR="00000000" w:rsidRDefault="004153AA">
            <w:pPr>
              <w:rPr>
                <w:rFonts w:eastAsia="Times New Roman"/>
              </w:rPr>
            </w:pPr>
          </w:p>
        </w:tc>
      </w:tr>
      <w:tr w:rsidR="00000000">
        <w:trPr>
          <w:divId w:val="415176988"/>
          <w:tblCellSpacing w:w="7" w:type="dxa"/>
        </w:trPr>
        <w:tc>
          <w:tcPr>
            <w:tcW w:w="0" w:type="auto"/>
            <w:vAlign w:val="center"/>
            <w:hideMark/>
          </w:tcPr>
          <w:p w:rsidR="00000000" w:rsidRDefault="004153AA">
            <w:pPr>
              <w:rPr>
                <w:rFonts w:eastAsia="Times New Roman"/>
              </w:rPr>
            </w:pPr>
            <w:r>
              <w:rPr>
                <w:rFonts w:eastAsia="Times New Roman"/>
              </w:rPr>
              <w:t>Отправитель сообщения:</w:t>
            </w:r>
          </w:p>
        </w:tc>
        <w:tc>
          <w:tcPr>
            <w:tcW w:w="0" w:type="auto"/>
            <w:vAlign w:val="center"/>
            <w:hideMark/>
          </w:tcPr>
          <w:p w:rsidR="00000000" w:rsidRDefault="004153AA">
            <w:pPr>
              <w:rPr>
                <w:rFonts w:eastAsia="Times New Roman"/>
              </w:rPr>
            </w:pPr>
            <w:r>
              <w:rPr>
                <w:rFonts w:eastAsia="Times New Roman"/>
              </w:rPr>
              <w:t>NDC000000000</w:t>
            </w:r>
          </w:p>
        </w:tc>
        <w:tc>
          <w:tcPr>
            <w:tcW w:w="0" w:type="auto"/>
            <w:vAlign w:val="center"/>
            <w:hideMark/>
          </w:tcPr>
          <w:p w:rsidR="00000000" w:rsidRDefault="004153AA">
            <w:pPr>
              <w:rPr>
                <w:rFonts w:eastAsia="Times New Roman"/>
              </w:rPr>
            </w:pPr>
            <w:r>
              <w:rPr>
                <w:rFonts w:eastAsia="Times New Roman"/>
              </w:rPr>
              <w:t>НКО АО НРД</w:t>
            </w:r>
          </w:p>
        </w:tc>
      </w:tr>
      <w:tr w:rsidR="00000000">
        <w:trPr>
          <w:divId w:val="415176988"/>
          <w:tblCellSpacing w:w="7" w:type="dxa"/>
        </w:trPr>
        <w:tc>
          <w:tcPr>
            <w:tcW w:w="0" w:type="auto"/>
            <w:vAlign w:val="center"/>
            <w:hideMark/>
          </w:tcPr>
          <w:p w:rsidR="00000000" w:rsidRDefault="004153AA">
            <w:pPr>
              <w:rPr>
                <w:rFonts w:eastAsia="Times New Roman"/>
              </w:rPr>
            </w:pPr>
            <w:r>
              <w:rPr>
                <w:rFonts w:eastAsia="Times New Roman"/>
              </w:rPr>
              <w:t>Получатель сообщения:</w:t>
            </w:r>
          </w:p>
        </w:tc>
        <w:tc>
          <w:tcPr>
            <w:tcW w:w="0" w:type="auto"/>
            <w:vAlign w:val="center"/>
            <w:hideMark/>
          </w:tcPr>
          <w:p w:rsidR="00000000" w:rsidRDefault="004153AA">
            <w:pPr>
              <w:rPr>
                <w:rFonts w:eastAsia="Times New Roman"/>
              </w:rPr>
            </w:pPr>
            <w:r>
              <w:rPr>
                <w:rFonts w:eastAsia="Times New Roman"/>
              </w:rPr>
              <w:t>MC0083900000</w:t>
            </w:r>
          </w:p>
        </w:tc>
        <w:tc>
          <w:tcPr>
            <w:tcW w:w="0" w:type="auto"/>
            <w:vAlign w:val="center"/>
            <w:hideMark/>
          </w:tcPr>
          <w:p w:rsidR="00000000" w:rsidRDefault="004153AA">
            <w:pPr>
              <w:rPr>
                <w:rFonts w:eastAsia="Times New Roman"/>
              </w:rPr>
            </w:pPr>
            <w:r>
              <w:rPr>
                <w:rFonts w:eastAsia="Times New Roman"/>
              </w:rPr>
              <w:t>ООО ИК "ММК-Финанс"</w:t>
            </w:r>
          </w:p>
        </w:tc>
      </w:tr>
    </w:tbl>
    <w:p w:rsidR="00000000" w:rsidRDefault="004153AA">
      <w:pPr>
        <w:pStyle w:val="1"/>
        <w:rPr>
          <w:rFonts w:eastAsia="Times New Roman"/>
        </w:rPr>
      </w:pPr>
      <w:r>
        <w:rPr>
          <w:rFonts w:eastAsia="Times New Roman"/>
        </w:rPr>
        <w:t>(MEET) О прошедшем корпоративном действии "Годовое общее собрание акционеров" с ценными бумагами эмитента ПАО "МТС" ИНН 7740000076 (акция 1-01-04715-A / ISIN RU0007775219)</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4153A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4153AA">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4153AA">
            <w:pPr>
              <w:wordWrap w:val="0"/>
              <w:rPr>
                <w:rFonts w:eastAsia="Times New Roman"/>
              </w:rPr>
            </w:pPr>
            <w:r>
              <w:rPr>
                <w:rFonts w:eastAsia="Times New Roman"/>
              </w:rPr>
              <w:t>798583</w:t>
            </w:r>
          </w:p>
        </w:tc>
      </w:tr>
      <w:tr w:rsidR="00000000">
        <w:trPr>
          <w:tblCellSpacing w:w="7" w:type="dxa"/>
        </w:trPr>
        <w:tc>
          <w:tcPr>
            <w:tcW w:w="0" w:type="auto"/>
            <w:shd w:val="clear" w:color="auto" w:fill="EEEEEE"/>
            <w:vAlign w:val="center"/>
            <w:hideMark/>
          </w:tcPr>
          <w:p w:rsidR="00000000" w:rsidRDefault="004153AA">
            <w:pPr>
              <w:rPr>
                <w:rFonts w:eastAsia="Times New Roman"/>
              </w:rPr>
            </w:pPr>
            <w:r>
              <w:rPr>
                <w:rFonts w:eastAsia="Times New Roman"/>
              </w:rPr>
              <w:t>Код тип</w:t>
            </w:r>
            <w:r>
              <w:rPr>
                <w:rFonts w:eastAsia="Times New Roman"/>
              </w:rPr>
              <w:t>а корпоративного действия</w:t>
            </w:r>
          </w:p>
        </w:tc>
        <w:tc>
          <w:tcPr>
            <w:tcW w:w="0" w:type="auto"/>
            <w:shd w:val="clear" w:color="auto" w:fill="EEEEEE"/>
            <w:vAlign w:val="center"/>
            <w:hideMark/>
          </w:tcPr>
          <w:p w:rsidR="00000000" w:rsidRDefault="004153AA">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4153A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4153AA">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4153AA">
            <w:pPr>
              <w:rPr>
                <w:rFonts w:eastAsia="Times New Roman"/>
              </w:rPr>
            </w:pPr>
            <w:r>
              <w:rPr>
                <w:rFonts w:eastAsia="Times New Roman"/>
              </w:rPr>
              <w:t>Дата КД (факт.)</w:t>
            </w:r>
          </w:p>
        </w:tc>
        <w:tc>
          <w:tcPr>
            <w:tcW w:w="0" w:type="auto"/>
            <w:shd w:val="clear" w:color="auto" w:fill="EEEEEE"/>
            <w:vAlign w:val="center"/>
            <w:hideMark/>
          </w:tcPr>
          <w:p w:rsidR="00000000" w:rsidRDefault="004153AA">
            <w:pPr>
              <w:rPr>
                <w:rFonts w:eastAsia="Times New Roman"/>
              </w:rPr>
            </w:pPr>
            <w:r>
              <w:rPr>
                <w:rFonts w:eastAsia="Times New Roman"/>
              </w:rPr>
              <w:t xml:space="preserve">18 июня 2023 г. </w:t>
            </w:r>
          </w:p>
        </w:tc>
      </w:tr>
      <w:tr w:rsidR="00000000">
        <w:trPr>
          <w:tblCellSpacing w:w="7" w:type="dxa"/>
        </w:trPr>
        <w:tc>
          <w:tcPr>
            <w:tcW w:w="0" w:type="auto"/>
            <w:shd w:val="clear" w:color="auto" w:fill="EEEEEE"/>
            <w:vAlign w:val="center"/>
            <w:hideMark/>
          </w:tcPr>
          <w:p w:rsidR="00000000" w:rsidRDefault="004153AA">
            <w:pPr>
              <w:rPr>
                <w:rFonts w:eastAsia="Times New Roman"/>
              </w:rPr>
            </w:pPr>
            <w:r>
              <w:rPr>
                <w:rFonts w:eastAsia="Times New Roman"/>
              </w:rPr>
              <w:t>Дата фиксации</w:t>
            </w:r>
          </w:p>
        </w:tc>
        <w:tc>
          <w:tcPr>
            <w:tcW w:w="0" w:type="auto"/>
            <w:shd w:val="clear" w:color="auto" w:fill="EEEEEE"/>
            <w:vAlign w:val="center"/>
            <w:hideMark/>
          </w:tcPr>
          <w:p w:rsidR="00000000" w:rsidRDefault="004153AA">
            <w:pPr>
              <w:rPr>
                <w:rFonts w:eastAsia="Times New Roman"/>
              </w:rPr>
            </w:pPr>
            <w:r>
              <w:rPr>
                <w:rFonts w:eastAsia="Times New Roman"/>
              </w:rPr>
              <w:t>26 мая 2023 г.</w:t>
            </w:r>
          </w:p>
        </w:tc>
      </w:tr>
      <w:tr w:rsidR="00000000">
        <w:trPr>
          <w:tblCellSpacing w:w="7" w:type="dxa"/>
        </w:trPr>
        <w:tc>
          <w:tcPr>
            <w:tcW w:w="0" w:type="auto"/>
            <w:shd w:val="clear" w:color="auto" w:fill="EEEEEE"/>
            <w:vAlign w:val="center"/>
            <w:hideMark/>
          </w:tcPr>
          <w:p w:rsidR="00000000" w:rsidRDefault="004153A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4153AA">
            <w:pPr>
              <w:wordWrap w:val="0"/>
              <w:rPr>
                <w:rFonts w:eastAsia="Times New Roman"/>
              </w:rPr>
            </w:pPr>
            <w:r>
              <w:rPr>
                <w:rFonts w:eastAsia="Times New Roman"/>
              </w:rPr>
              <w:t>Заочная</w:t>
            </w:r>
          </w:p>
        </w:tc>
      </w:tr>
    </w:tbl>
    <w:p w:rsidR="00000000" w:rsidRDefault="004153A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511"/>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4153A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4153A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4153A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4153AA">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4153AA">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4153A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4153A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4153A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4153A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4153AA">
            <w:pPr>
              <w:rPr>
                <w:rFonts w:eastAsia="Times New Roman"/>
              </w:rPr>
            </w:pPr>
            <w:r>
              <w:rPr>
                <w:rFonts w:eastAsia="Times New Roman"/>
              </w:rPr>
              <w:t>798583X5215</w:t>
            </w:r>
          </w:p>
        </w:tc>
        <w:tc>
          <w:tcPr>
            <w:tcW w:w="0" w:type="auto"/>
            <w:shd w:val="clear" w:color="auto" w:fill="EEEEEE"/>
            <w:vAlign w:val="center"/>
            <w:hideMark/>
          </w:tcPr>
          <w:p w:rsidR="00000000" w:rsidRDefault="004153AA">
            <w:pPr>
              <w:rPr>
                <w:rFonts w:eastAsia="Times New Roman"/>
              </w:rPr>
            </w:pPr>
            <w:r>
              <w:rPr>
                <w:rFonts w:eastAsia="Times New Roman"/>
              </w:rPr>
              <w:t>Публичное акционерное общество "Мобильные ТелеСистемы"</w:t>
            </w:r>
          </w:p>
        </w:tc>
        <w:tc>
          <w:tcPr>
            <w:tcW w:w="0" w:type="auto"/>
            <w:shd w:val="clear" w:color="auto" w:fill="EEEEEE"/>
            <w:vAlign w:val="center"/>
            <w:hideMark/>
          </w:tcPr>
          <w:p w:rsidR="00000000" w:rsidRDefault="004153AA">
            <w:pPr>
              <w:rPr>
                <w:rFonts w:eastAsia="Times New Roman"/>
              </w:rPr>
            </w:pPr>
            <w:r>
              <w:rPr>
                <w:rFonts w:eastAsia="Times New Roman"/>
              </w:rPr>
              <w:t>1-01-04715-A</w:t>
            </w:r>
          </w:p>
        </w:tc>
        <w:tc>
          <w:tcPr>
            <w:tcW w:w="0" w:type="auto"/>
            <w:shd w:val="clear" w:color="auto" w:fill="EEEEEE"/>
            <w:vAlign w:val="center"/>
            <w:hideMark/>
          </w:tcPr>
          <w:p w:rsidR="00000000" w:rsidRDefault="004153AA">
            <w:pPr>
              <w:rPr>
                <w:rFonts w:eastAsia="Times New Roman"/>
              </w:rPr>
            </w:pPr>
            <w:r>
              <w:rPr>
                <w:rFonts w:eastAsia="Times New Roman"/>
              </w:rPr>
              <w:t>22 января 2004 г.</w:t>
            </w:r>
          </w:p>
        </w:tc>
        <w:tc>
          <w:tcPr>
            <w:tcW w:w="0" w:type="auto"/>
            <w:shd w:val="clear" w:color="auto" w:fill="EEEEEE"/>
            <w:vAlign w:val="center"/>
            <w:hideMark/>
          </w:tcPr>
          <w:p w:rsidR="00000000" w:rsidRDefault="004153A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4153AA">
            <w:pPr>
              <w:rPr>
                <w:rFonts w:eastAsia="Times New Roman"/>
              </w:rPr>
            </w:pPr>
            <w:r>
              <w:rPr>
                <w:rFonts w:eastAsia="Times New Roman"/>
              </w:rPr>
              <w:t>RU00</w:t>
            </w:r>
            <w:r>
              <w:rPr>
                <w:rFonts w:eastAsia="Times New Roman"/>
              </w:rPr>
              <w:t>07775219</w:t>
            </w:r>
          </w:p>
        </w:tc>
        <w:tc>
          <w:tcPr>
            <w:tcW w:w="0" w:type="auto"/>
            <w:shd w:val="clear" w:color="auto" w:fill="EEEEEE"/>
            <w:vAlign w:val="center"/>
            <w:hideMark/>
          </w:tcPr>
          <w:p w:rsidR="00000000" w:rsidRDefault="004153AA">
            <w:pPr>
              <w:rPr>
                <w:rFonts w:eastAsia="Times New Roman"/>
              </w:rPr>
            </w:pPr>
            <w:r>
              <w:rPr>
                <w:rFonts w:eastAsia="Times New Roman"/>
              </w:rPr>
              <w:t>RU0007775219</w:t>
            </w:r>
          </w:p>
        </w:tc>
        <w:tc>
          <w:tcPr>
            <w:tcW w:w="0" w:type="auto"/>
            <w:shd w:val="clear" w:color="auto" w:fill="EEEEEE"/>
            <w:vAlign w:val="center"/>
            <w:hideMark/>
          </w:tcPr>
          <w:p w:rsidR="00000000" w:rsidRDefault="004153AA">
            <w:pPr>
              <w:rPr>
                <w:rFonts w:eastAsia="Times New Roman"/>
              </w:rPr>
            </w:pPr>
            <w:r>
              <w:rPr>
                <w:rFonts w:eastAsia="Times New Roman"/>
              </w:rPr>
              <w:t>АО "РЕЕСТР"</w:t>
            </w:r>
          </w:p>
        </w:tc>
      </w:tr>
    </w:tbl>
    <w:p w:rsidR="00000000" w:rsidRDefault="004153A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4153AA">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4153A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4153A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4153AA">
            <w:pPr>
              <w:rPr>
                <w:rFonts w:eastAsia="Times New Roman"/>
              </w:rPr>
            </w:pPr>
            <w:r>
              <w:rPr>
                <w:rFonts w:eastAsia="Times New Roman"/>
              </w:rPr>
              <w:t>DVCA</w:t>
            </w:r>
          </w:p>
        </w:tc>
        <w:tc>
          <w:tcPr>
            <w:tcW w:w="0" w:type="auto"/>
            <w:shd w:val="clear" w:color="auto" w:fill="EEEEEE"/>
            <w:vAlign w:val="center"/>
            <w:hideMark/>
          </w:tcPr>
          <w:p w:rsidR="00000000" w:rsidRDefault="004153AA">
            <w:pPr>
              <w:rPr>
                <w:rFonts w:eastAsia="Times New Roman"/>
              </w:rPr>
            </w:pPr>
            <w:r>
              <w:rPr>
                <w:rFonts w:eastAsia="Times New Roman"/>
              </w:rPr>
              <w:t>808687</w:t>
            </w:r>
          </w:p>
        </w:tc>
        <w:tc>
          <w:tcPr>
            <w:tcW w:w="0" w:type="auto"/>
            <w:shd w:val="clear" w:color="auto" w:fill="EEEEEE"/>
            <w:vAlign w:val="center"/>
            <w:hideMark/>
          </w:tcPr>
          <w:p w:rsidR="00000000" w:rsidRDefault="004153AA">
            <w:pPr>
              <w:rPr>
                <w:rFonts w:eastAsia="Times New Roman"/>
              </w:rPr>
            </w:pPr>
          </w:p>
        </w:tc>
      </w:tr>
    </w:tbl>
    <w:p w:rsidR="00000000" w:rsidRDefault="004153A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361"/>
        <w:gridCol w:w="1421"/>
      </w:tblGrid>
      <w:tr w:rsidR="00000000">
        <w:trPr>
          <w:tblHeader/>
          <w:tblCellSpacing w:w="7" w:type="dxa"/>
        </w:trPr>
        <w:tc>
          <w:tcPr>
            <w:tcW w:w="0" w:type="auto"/>
            <w:gridSpan w:val="3"/>
            <w:shd w:val="clear" w:color="auto" w:fill="BBBBBB"/>
            <w:vAlign w:val="center"/>
            <w:hideMark/>
          </w:tcPr>
          <w:p w:rsidR="00000000" w:rsidRDefault="004153AA">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4153AA">
            <w:pPr>
              <w:rPr>
                <w:rFonts w:eastAsia="Times New Roman"/>
              </w:rPr>
            </w:pPr>
            <w:r>
              <w:rPr>
                <w:rFonts w:eastAsia="Times New Roman"/>
              </w:rPr>
              <w:t xml:space="preserve">Утвердить годовой отчет ПАО «МТС» за 2022 год, годовую бухгалтерскую (финансовую) </w:t>
            </w:r>
            <w:r>
              <w:rPr>
                <w:rFonts w:eastAsia="Times New Roman"/>
              </w:rPr>
              <w:t>отчетность ПАО «МТС» за 2022 год.</w:t>
            </w:r>
          </w:p>
        </w:tc>
        <w:tc>
          <w:tcPr>
            <w:tcW w:w="0" w:type="auto"/>
            <w:shd w:val="clear" w:color="auto" w:fill="EEEEEE"/>
            <w:vAlign w:val="center"/>
            <w:hideMark/>
          </w:tcPr>
          <w:p w:rsidR="00000000" w:rsidRDefault="004153A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lastRenderedPageBreak/>
              <w:t>Номер проекта решения:1.2</w:t>
            </w:r>
          </w:p>
        </w:tc>
        <w:tc>
          <w:tcPr>
            <w:tcW w:w="3500" w:type="pct"/>
            <w:vMerge w:val="restart"/>
            <w:shd w:val="clear" w:color="auto" w:fill="EEEEEE"/>
            <w:vAlign w:val="center"/>
            <w:hideMark/>
          </w:tcPr>
          <w:p w:rsidR="00000000" w:rsidRDefault="004153AA">
            <w:pPr>
              <w:rPr>
                <w:rFonts w:eastAsia="Times New Roman"/>
              </w:rPr>
            </w:pPr>
            <w:r>
              <w:rPr>
                <w:rFonts w:eastAsia="Times New Roman"/>
              </w:rPr>
              <w:t>Утвердить порядок распределения прибыли ПАО «МТС» (Приложение 1), в том числе размер годовых дивидендов по обыкновенным именным акц</w:t>
            </w:r>
            <w:r>
              <w:rPr>
                <w:rFonts w:eastAsia="Times New Roman"/>
              </w:rPr>
              <w:t>иям ПАО «МТС» в размере 34,29 рублей на одну обыкновенную именную акцию ПАО «МТС» номинальной стоимостью 0,1 рубля каждая. Общая сумма годовых дивидендов ПАО «МТС» составляет 67 198 691 575,17 рублей. Годовые дивиденды выплатить денежными средствами. Устан</w:t>
            </w:r>
            <w:r>
              <w:rPr>
                <w:rFonts w:eastAsia="Times New Roman"/>
              </w:rPr>
              <w:t>овить дату, на которую определяются лица, имеющие право на получение дивидендов – 29 июня 2023 года.</w:t>
            </w:r>
          </w:p>
        </w:tc>
        <w:tc>
          <w:tcPr>
            <w:tcW w:w="0" w:type="auto"/>
            <w:shd w:val="clear" w:color="auto" w:fill="EEEEEE"/>
            <w:vAlign w:val="center"/>
            <w:hideMark/>
          </w:tcPr>
          <w:p w:rsidR="00000000" w:rsidRDefault="004153A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4153AA">
            <w:pPr>
              <w:rPr>
                <w:rFonts w:eastAsia="Times New Roman"/>
              </w:rPr>
            </w:pPr>
            <w:r>
              <w:rPr>
                <w:rFonts w:eastAsia="Times New Roman"/>
              </w:rPr>
              <w:t xml:space="preserve">Избрать в члены Совета директоров Публичного </w:t>
            </w:r>
            <w:r>
              <w:rPr>
                <w:rFonts w:eastAsia="Times New Roman"/>
              </w:rPr>
              <w:t>акционерного общества «Мобильные ТелеСистемы» следующих лиц:</w:t>
            </w:r>
          </w:p>
        </w:tc>
        <w:tc>
          <w:tcPr>
            <w:tcW w:w="0" w:type="auto"/>
            <w:shd w:val="clear" w:color="auto" w:fill="EEEEEE"/>
            <w:vAlign w:val="center"/>
            <w:hideMark/>
          </w:tcPr>
          <w:p w:rsidR="00000000" w:rsidRDefault="004153A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решения:2.1.1</w:t>
            </w:r>
          </w:p>
        </w:tc>
        <w:tc>
          <w:tcPr>
            <w:tcW w:w="3500" w:type="pct"/>
            <w:vMerge w:val="restart"/>
            <w:shd w:val="clear" w:color="auto" w:fill="EEEEEE"/>
            <w:vAlign w:val="center"/>
            <w:hideMark/>
          </w:tcPr>
          <w:p w:rsidR="00000000" w:rsidRDefault="004153AA">
            <w:pPr>
              <w:rPr>
                <w:rFonts w:eastAsia="Times New Roman"/>
              </w:rPr>
            </w:pPr>
            <w:r>
              <w:rPr>
                <w:rFonts w:eastAsia="Times New Roman"/>
              </w:rPr>
              <w:t>Алиев Ровшан Бейляр Оглы</w:t>
            </w:r>
          </w:p>
        </w:tc>
        <w:tc>
          <w:tcPr>
            <w:tcW w:w="0" w:type="auto"/>
            <w:shd w:val="clear" w:color="auto" w:fill="EEEEEE"/>
            <w:vAlign w:val="center"/>
            <w:hideMark/>
          </w:tcPr>
          <w:p w:rsidR="00000000" w:rsidRDefault="004153A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решения:2.1.2</w:t>
            </w:r>
          </w:p>
        </w:tc>
        <w:tc>
          <w:tcPr>
            <w:tcW w:w="3500" w:type="pct"/>
            <w:vMerge w:val="restart"/>
            <w:shd w:val="clear" w:color="auto" w:fill="EEEEEE"/>
            <w:vAlign w:val="center"/>
            <w:hideMark/>
          </w:tcPr>
          <w:p w:rsidR="00000000" w:rsidRDefault="004153AA">
            <w:pPr>
              <w:rPr>
                <w:rFonts w:eastAsia="Times New Roman"/>
              </w:rPr>
            </w:pPr>
            <w:r>
              <w:rPr>
                <w:rFonts w:eastAsia="Times New Roman"/>
              </w:rPr>
              <w:t>Бальмонт Елена Владимиров</w:t>
            </w:r>
            <w:r>
              <w:rPr>
                <w:rFonts w:eastAsia="Times New Roman"/>
              </w:rPr>
              <w:t>на – независимый директор</w:t>
            </w:r>
          </w:p>
        </w:tc>
        <w:tc>
          <w:tcPr>
            <w:tcW w:w="0" w:type="auto"/>
            <w:shd w:val="clear" w:color="auto" w:fill="EEEEEE"/>
            <w:vAlign w:val="center"/>
            <w:hideMark/>
          </w:tcPr>
          <w:p w:rsidR="00000000" w:rsidRDefault="004153A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решения:2.1.3</w:t>
            </w:r>
          </w:p>
        </w:tc>
        <w:tc>
          <w:tcPr>
            <w:tcW w:w="3500" w:type="pct"/>
            <w:vMerge w:val="restart"/>
            <w:shd w:val="clear" w:color="auto" w:fill="EEEEEE"/>
            <w:vAlign w:val="center"/>
            <w:hideMark/>
          </w:tcPr>
          <w:p w:rsidR="00000000" w:rsidRDefault="004153AA">
            <w:pPr>
              <w:rPr>
                <w:rFonts w:eastAsia="Times New Roman"/>
              </w:rPr>
            </w:pPr>
            <w:r>
              <w:rPr>
                <w:rFonts w:eastAsia="Times New Roman"/>
              </w:rPr>
              <w:t>Барсегян Алексей Визскопбович</w:t>
            </w:r>
          </w:p>
        </w:tc>
        <w:tc>
          <w:tcPr>
            <w:tcW w:w="0" w:type="auto"/>
            <w:shd w:val="clear" w:color="auto" w:fill="EEEEEE"/>
            <w:vAlign w:val="center"/>
            <w:hideMark/>
          </w:tcPr>
          <w:p w:rsidR="00000000" w:rsidRDefault="004153A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решения:2.1.4</w:t>
            </w:r>
          </w:p>
        </w:tc>
        <w:tc>
          <w:tcPr>
            <w:tcW w:w="3500" w:type="pct"/>
            <w:vMerge w:val="restart"/>
            <w:shd w:val="clear" w:color="auto" w:fill="EEEEEE"/>
            <w:vAlign w:val="center"/>
            <w:hideMark/>
          </w:tcPr>
          <w:p w:rsidR="00000000" w:rsidRDefault="004153AA">
            <w:pPr>
              <w:rPr>
                <w:rFonts w:eastAsia="Times New Roman"/>
              </w:rPr>
            </w:pPr>
            <w:r>
              <w:rPr>
                <w:rFonts w:eastAsia="Times New Roman"/>
              </w:rPr>
              <w:t>Берриман Пол – независимый директор</w:t>
            </w:r>
          </w:p>
        </w:tc>
        <w:tc>
          <w:tcPr>
            <w:tcW w:w="0" w:type="auto"/>
            <w:shd w:val="clear" w:color="auto" w:fill="EEEEEE"/>
            <w:vAlign w:val="center"/>
            <w:hideMark/>
          </w:tcPr>
          <w:p w:rsidR="00000000" w:rsidRDefault="004153A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решения:2.1.5</w:t>
            </w:r>
          </w:p>
        </w:tc>
        <w:tc>
          <w:tcPr>
            <w:tcW w:w="3500" w:type="pct"/>
            <w:vMerge w:val="restart"/>
            <w:shd w:val="clear" w:color="auto" w:fill="EEEEEE"/>
            <w:vAlign w:val="center"/>
            <w:hideMark/>
          </w:tcPr>
          <w:p w:rsidR="00000000" w:rsidRDefault="004153AA">
            <w:pPr>
              <w:rPr>
                <w:rFonts w:eastAsia="Times New Roman"/>
              </w:rPr>
            </w:pPr>
            <w:r>
              <w:rPr>
                <w:rFonts w:eastAsia="Times New Roman"/>
              </w:rPr>
              <w:t>Засурский Артём Иванович</w:t>
            </w:r>
          </w:p>
        </w:tc>
        <w:tc>
          <w:tcPr>
            <w:tcW w:w="0" w:type="auto"/>
            <w:shd w:val="clear" w:color="auto" w:fill="EEEEEE"/>
            <w:vAlign w:val="center"/>
            <w:hideMark/>
          </w:tcPr>
          <w:p w:rsidR="00000000" w:rsidRDefault="004153A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решения:2.1.6</w:t>
            </w:r>
          </w:p>
        </w:tc>
        <w:tc>
          <w:tcPr>
            <w:tcW w:w="3500" w:type="pct"/>
            <w:vMerge w:val="restart"/>
            <w:shd w:val="clear" w:color="auto" w:fill="EEEEEE"/>
            <w:vAlign w:val="center"/>
            <w:hideMark/>
          </w:tcPr>
          <w:p w:rsidR="00000000" w:rsidRDefault="004153AA">
            <w:pPr>
              <w:rPr>
                <w:rFonts w:eastAsia="Times New Roman"/>
              </w:rPr>
            </w:pPr>
            <w:r>
              <w:rPr>
                <w:rFonts w:eastAsia="Times New Roman"/>
              </w:rPr>
              <w:t>Мисник Юрий Юрьевич – независимый директор</w:t>
            </w:r>
          </w:p>
        </w:tc>
        <w:tc>
          <w:tcPr>
            <w:tcW w:w="0" w:type="auto"/>
            <w:shd w:val="clear" w:color="auto" w:fill="EEEEEE"/>
            <w:vAlign w:val="center"/>
            <w:hideMark/>
          </w:tcPr>
          <w:p w:rsidR="00000000" w:rsidRDefault="004153A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решения:2.1.7</w:t>
            </w:r>
          </w:p>
        </w:tc>
        <w:tc>
          <w:tcPr>
            <w:tcW w:w="3500" w:type="pct"/>
            <w:vMerge w:val="restart"/>
            <w:shd w:val="clear" w:color="auto" w:fill="EEEEEE"/>
            <w:vAlign w:val="center"/>
            <w:hideMark/>
          </w:tcPr>
          <w:p w:rsidR="00000000" w:rsidRDefault="004153AA">
            <w:pPr>
              <w:rPr>
                <w:rFonts w:eastAsia="Times New Roman"/>
              </w:rPr>
            </w:pPr>
            <w:r>
              <w:rPr>
                <w:rFonts w:eastAsia="Times New Roman"/>
              </w:rPr>
              <w:t>Николаев Вячеслав Константинович</w:t>
            </w:r>
          </w:p>
        </w:tc>
        <w:tc>
          <w:tcPr>
            <w:tcW w:w="0" w:type="auto"/>
            <w:shd w:val="clear" w:color="auto" w:fill="EEEEEE"/>
            <w:vAlign w:val="center"/>
            <w:hideMark/>
          </w:tcPr>
          <w:p w:rsidR="00000000" w:rsidRDefault="004153A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решения:2.1.8</w:t>
            </w:r>
          </w:p>
        </w:tc>
        <w:tc>
          <w:tcPr>
            <w:tcW w:w="3500" w:type="pct"/>
            <w:vMerge w:val="restart"/>
            <w:shd w:val="clear" w:color="auto" w:fill="EEEEEE"/>
            <w:vAlign w:val="center"/>
            <w:hideMark/>
          </w:tcPr>
          <w:p w:rsidR="00000000" w:rsidRDefault="004153AA">
            <w:pPr>
              <w:rPr>
                <w:rFonts w:eastAsia="Times New Roman"/>
              </w:rPr>
            </w:pPr>
            <w:r>
              <w:rPr>
                <w:rFonts w:eastAsia="Times New Roman"/>
              </w:rPr>
              <w:t>Фон Флемминг Регина Дагмар Бенедикта – независимый директор</w:t>
            </w:r>
          </w:p>
        </w:tc>
        <w:tc>
          <w:tcPr>
            <w:tcW w:w="0" w:type="auto"/>
            <w:shd w:val="clear" w:color="auto" w:fill="EEEEEE"/>
            <w:vAlign w:val="center"/>
            <w:hideMark/>
          </w:tcPr>
          <w:p w:rsidR="00000000" w:rsidRDefault="004153A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решения:2.1.9</w:t>
            </w:r>
          </w:p>
        </w:tc>
        <w:tc>
          <w:tcPr>
            <w:tcW w:w="3500" w:type="pct"/>
            <w:vMerge w:val="restart"/>
            <w:shd w:val="clear" w:color="auto" w:fill="EEEEEE"/>
            <w:vAlign w:val="center"/>
            <w:hideMark/>
          </w:tcPr>
          <w:p w:rsidR="00000000" w:rsidRDefault="004153AA">
            <w:pPr>
              <w:rPr>
                <w:rFonts w:eastAsia="Times New Roman"/>
              </w:rPr>
            </w:pPr>
            <w:r>
              <w:rPr>
                <w:rFonts w:eastAsia="Times New Roman"/>
              </w:rPr>
              <w:t>Ханов Михаил Владимирович – независимый директор</w:t>
            </w:r>
          </w:p>
        </w:tc>
        <w:tc>
          <w:tcPr>
            <w:tcW w:w="0" w:type="auto"/>
            <w:shd w:val="clear" w:color="auto" w:fill="EEEEEE"/>
            <w:vAlign w:val="center"/>
            <w:hideMark/>
          </w:tcPr>
          <w:p w:rsidR="00000000" w:rsidRDefault="004153A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решения:2.1.10</w:t>
            </w:r>
          </w:p>
        </w:tc>
        <w:tc>
          <w:tcPr>
            <w:tcW w:w="3500" w:type="pct"/>
            <w:vMerge w:val="restart"/>
            <w:shd w:val="clear" w:color="auto" w:fill="EEEEEE"/>
            <w:vAlign w:val="center"/>
            <w:hideMark/>
          </w:tcPr>
          <w:p w:rsidR="00000000" w:rsidRDefault="004153AA">
            <w:pPr>
              <w:rPr>
                <w:rFonts w:eastAsia="Times New Roman"/>
              </w:rPr>
            </w:pPr>
            <w:r>
              <w:rPr>
                <w:rFonts w:eastAsia="Times New Roman"/>
              </w:rPr>
              <w:t>Холтроп Томас</w:t>
            </w:r>
          </w:p>
        </w:tc>
        <w:tc>
          <w:tcPr>
            <w:tcW w:w="0" w:type="auto"/>
            <w:shd w:val="clear" w:color="auto" w:fill="EEEEEE"/>
            <w:vAlign w:val="center"/>
            <w:hideMark/>
          </w:tcPr>
          <w:p w:rsidR="00000000" w:rsidRDefault="004153A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решения:2.1.11</w:t>
            </w:r>
          </w:p>
        </w:tc>
        <w:tc>
          <w:tcPr>
            <w:tcW w:w="3500" w:type="pct"/>
            <w:vMerge w:val="restart"/>
            <w:shd w:val="clear" w:color="auto" w:fill="EEEEEE"/>
            <w:vAlign w:val="center"/>
            <w:hideMark/>
          </w:tcPr>
          <w:p w:rsidR="00000000" w:rsidRDefault="004153AA">
            <w:pPr>
              <w:rPr>
                <w:rFonts w:eastAsia="Times New Roman"/>
              </w:rPr>
            </w:pPr>
            <w:r>
              <w:rPr>
                <w:rFonts w:eastAsia="Times New Roman"/>
              </w:rPr>
              <w:t>Шурабура Надя – независимый директор</w:t>
            </w:r>
          </w:p>
        </w:tc>
        <w:tc>
          <w:tcPr>
            <w:tcW w:w="0" w:type="auto"/>
            <w:shd w:val="clear" w:color="auto" w:fill="EEEEEE"/>
            <w:vAlign w:val="center"/>
            <w:hideMark/>
          </w:tcPr>
          <w:p w:rsidR="00000000" w:rsidRDefault="004153A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решения:2.1.12</w:t>
            </w:r>
          </w:p>
        </w:tc>
        <w:tc>
          <w:tcPr>
            <w:tcW w:w="3500" w:type="pct"/>
            <w:vMerge w:val="restart"/>
            <w:shd w:val="clear" w:color="auto" w:fill="EEEEEE"/>
            <w:vAlign w:val="center"/>
            <w:hideMark/>
          </w:tcPr>
          <w:p w:rsidR="00000000" w:rsidRDefault="004153AA">
            <w:pPr>
              <w:rPr>
                <w:rFonts w:eastAsia="Times New Roman"/>
              </w:rPr>
            </w:pPr>
            <w:r>
              <w:rPr>
                <w:rFonts w:eastAsia="Times New Roman"/>
              </w:rPr>
              <w:t>Юмашев Валентин Борисович – независимый директор</w:t>
            </w:r>
          </w:p>
        </w:tc>
        <w:tc>
          <w:tcPr>
            <w:tcW w:w="0" w:type="auto"/>
            <w:shd w:val="clear" w:color="auto" w:fill="EEEEEE"/>
            <w:vAlign w:val="center"/>
            <w:hideMark/>
          </w:tcPr>
          <w:p w:rsidR="00000000" w:rsidRDefault="004153A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4153AA">
            <w:pPr>
              <w:rPr>
                <w:rFonts w:eastAsia="Times New Roman"/>
              </w:rPr>
            </w:pPr>
            <w:r>
              <w:rPr>
                <w:rFonts w:eastAsia="Times New Roman"/>
              </w:rPr>
              <w:t>Избрать в члены Ревизионной комиссии ПАО «МТС» следующих лиц: Колесников Александр Александрович</w:t>
            </w:r>
          </w:p>
        </w:tc>
        <w:tc>
          <w:tcPr>
            <w:tcW w:w="0" w:type="auto"/>
            <w:shd w:val="clear" w:color="auto" w:fill="EEEEEE"/>
            <w:vAlign w:val="center"/>
            <w:hideMark/>
          </w:tcPr>
          <w:p w:rsidR="00000000" w:rsidRDefault="004153A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lastRenderedPageBreak/>
              <w:t>Номер проекта решения:3.2</w:t>
            </w:r>
          </w:p>
        </w:tc>
        <w:tc>
          <w:tcPr>
            <w:tcW w:w="3500" w:type="pct"/>
            <w:vMerge w:val="restart"/>
            <w:shd w:val="clear" w:color="auto" w:fill="EEEEEE"/>
            <w:vAlign w:val="center"/>
            <w:hideMark/>
          </w:tcPr>
          <w:p w:rsidR="00000000" w:rsidRDefault="004153AA">
            <w:pPr>
              <w:rPr>
                <w:rFonts w:eastAsia="Times New Roman"/>
              </w:rPr>
            </w:pPr>
            <w:r>
              <w:rPr>
                <w:rFonts w:eastAsia="Times New Roman"/>
              </w:rPr>
              <w:t>Избрать в члены Ревизионной комиссии ПАО «МТС» следующих лиц: Михее</w:t>
            </w:r>
            <w:r>
              <w:rPr>
                <w:rFonts w:eastAsia="Times New Roman"/>
              </w:rPr>
              <w:t>ва Наталья Андреевна</w:t>
            </w:r>
          </w:p>
        </w:tc>
        <w:tc>
          <w:tcPr>
            <w:tcW w:w="0" w:type="auto"/>
            <w:shd w:val="clear" w:color="auto" w:fill="EEEEEE"/>
            <w:vAlign w:val="center"/>
            <w:hideMark/>
          </w:tcPr>
          <w:p w:rsidR="00000000" w:rsidRDefault="004153A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решения:3.3</w:t>
            </w:r>
          </w:p>
        </w:tc>
        <w:tc>
          <w:tcPr>
            <w:tcW w:w="3500" w:type="pct"/>
            <w:vMerge w:val="restart"/>
            <w:shd w:val="clear" w:color="auto" w:fill="EEEEEE"/>
            <w:vAlign w:val="center"/>
            <w:hideMark/>
          </w:tcPr>
          <w:p w:rsidR="00000000" w:rsidRDefault="004153AA">
            <w:pPr>
              <w:rPr>
                <w:rFonts w:eastAsia="Times New Roman"/>
              </w:rPr>
            </w:pPr>
            <w:r>
              <w:rPr>
                <w:rFonts w:eastAsia="Times New Roman"/>
              </w:rPr>
              <w:t>Избрать в члены Ревизионной комиссии ПАО «МТС» следующих лиц: Худайбердин Рифат Алиаскерович</w:t>
            </w:r>
          </w:p>
        </w:tc>
        <w:tc>
          <w:tcPr>
            <w:tcW w:w="0" w:type="auto"/>
            <w:shd w:val="clear" w:color="auto" w:fill="EEEEEE"/>
            <w:vAlign w:val="center"/>
            <w:hideMark/>
          </w:tcPr>
          <w:p w:rsidR="00000000" w:rsidRDefault="004153A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 xml:space="preserve">Не </w:t>
            </w:r>
            <w:r>
              <w:rPr>
                <w:rFonts w:eastAsia="Times New Roman"/>
              </w:rPr>
              <w:t>участвовало: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4153AA">
            <w:pPr>
              <w:rPr>
                <w:rFonts w:eastAsia="Times New Roman"/>
              </w:rPr>
            </w:pPr>
            <w:r>
              <w:rPr>
                <w:rFonts w:eastAsia="Times New Roman"/>
              </w:rPr>
              <w:t>Утвердить аудитором ПАО «МТС» Акционерное общество «Деловые Решения и Технологии» (ОГРН 1027700425444).</w:t>
            </w:r>
          </w:p>
        </w:tc>
        <w:tc>
          <w:tcPr>
            <w:tcW w:w="0" w:type="auto"/>
            <w:shd w:val="clear" w:color="auto" w:fill="EEEEEE"/>
            <w:vAlign w:val="center"/>
            <w:hideMark/>
          </w:tcPr>
          <w:p w:rsidR="00000000" w:rsidRDefault="004153A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4153AA">
            <w:pPr>
              <w:rPr>
                <w:rFonts w:eastAsia="Times New Roman"/>
              </w:rPr>
            </w:pPr>
            <w:r>
              <w:rPr>
                <w:rFonts w:eastAsia="Times New Roman"/>
              </w:rPr>
              <w:t>Утвердить Положение о Совете директоров ПАО «МТС» в новой редакции (Приложение 2).</w:t>
            </w:r>
          </w:p>
        </w:tc>
        <w:tc>
          <w:tcPr>
            <w:tcW w:w="0" w:type="auto"/>
            <w:shd w:val="clear" w:color="auto" w:fill="EEEEEE"/>
            <w:vAlign w:val="center"/>
            <w:hideMark/>
          </w:tcPr>
          <w:p w:rsidR="00000000" w:rsidRDefault="004153A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4153AA">
            <w:pPr>
              <w:rPr>
                <w:rFonts w:eastAsia="Times New Roman"/>
              </w:rPr>
            </w:pPr>
            <w:r>
              <w:rPr>
                <w:rFonts w:eastAsia="Times New Roman"/>
              </w:rPr>
              <w:t xml:space="preserve">Утвердить Положение о вознаграждениях и компенсациях, выплачиваемых членам Совета </w:t>
            </w:r>
            <w:r>
              <w:rPr>
                <w:rFonts w:eastAsia="Times New Roman"/>
              </w:rPr>
              <w:t>директоров ПАО «МТС», в новой редакции (Приложение 3).</w:t>
            </w:r>
          </w:p>
        </w:tc>
        <w:tc>
          <w:tcPr>
            <w:tcW w:w="0" w:type="auto"/>
            <w:shd w:val="clear" w:color="auto" w:fill="EEEEEE"/>
            <w:vAlign w:val="center"/>
            <w:hideMark/>
          </w:tcPr>
          <w:p w:rsidR="00000000" w:rsidRDefault="004153A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4153AA">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4153AA">
            <w:pPr>
              <w:rPr>
                <w:rFonts w:eastAsia="Times New Roman"/>
              </w:rPr>
            </w:pPr>
            <w:r>
              <w:rPr>
                <w:rFonts w:eastAsia="Times New Roman"/>
              </w:rPr>
              <w:t xml:space="preserve">Принять решение об участии ПАО «МТС» в некоммерческой организации Союз «Вятская торгово- промышленная палата» </w:t>
            </w:r>
            <w:r>
              <w:rPr>
                <w:rFonts w:eastAsia="Times New Roman"/>
              </w:rPr>
              <w:t>(Кировской области) (Вятская ТПП, ОГРН 1024300010327, ИНН 4346011204, адрес местонахождения: 610004, г. Киров, ул. Профсоюзная, 4/9).</w:t>
            </w:r>
          </w:p>
        </w:tc>
        <w:tc>
          <w:tcPr>
            <w:tcW w:w="0" w:type="auto"/>
            <w:shd w:val="clear" w:color="auto" w:fill="EEEEEE"/>
            <w:vAlign w:val="center"/>
            <w:hideMark/>
          </w:tcPr>
          <w:p w:rsidR="00000000" w:rsidRDefault="004153A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153AA">
            <w:pPr>
              <w:rPr>
                <w:rFonts w:eastAsia="Times New Roman"/>
              </w:rPr>
            </w:pPr>
          </w:p>
        </w:tc>
        <w:tc>
          <w:tcPr>
            <w:tcW w:w="0" w:type="auto"/>
            <w:vMerge/>
            <w:vAlign w:val="center"/>
            <w:hideMark/>
          </w:tcPr>
          <w:p w:rsidR="00000000" w:rsidRDefault="004153AA">
            <w:pPr>
              <w:rPr>
                <w:rFonts w:eastAsia="Times New Roman"/>
              </w:rPr>
            </w:pPr>
          </w:p>
        </w:tc>
        <w:tc>
          <w:tcPr>
            <w:tcW w:w="0" w:type="auto"/>
            <w:shd w:val="clear" w:color="auto" w:fill="EEEEEE"/>
            <w:vAlign w:val="center"/>
            <w:hideMark/>
          </w:tcPr>
          <w:p w:rsidR="00000000" w:rsidRDefault="004153AA">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bl>
    <w:p w:rsidR="00000000" w:rsidRDefault="004153AA">
      <w:pPr>
        <w:rPr>
          <w:rFonts w:eastAsia="Times New Roman"/>
        </w:rPr>
      </w:pPr>
    </w:p>
    <w:p w:rsidR="00000000" w:rsidRDefault="004153AA">
      <w:pPr>
        <w:pStyle w:val="a3"/>
      </w:pPr>
      <w:r>
        <w:lastRenderedPageBreak/>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w:t>
      </w:r>
      <w:r>
        <w:t>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000000" w:rsidRDefault="004153AA">
      <w:pPr>
        <w:pStyle w:val="a3"/>
      </w:pPr>
      <w:r>
        <w:t xml:space="preserve">4.4 Информация о решениях, принятых общим собранием акционеров эмитента, а также об итогах </w:t>
      </w:r>
      <w:r>
        <w:t xml:space="preserve">голосования на общем собрании акционеров эмитента </w:t>
      </w:r>
    </w:p>
    <w:p w:rsidR="00000000" w:rsidRDefault="004153AA">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t>* НРД не отвечает за полн</w:t>
      </w:r>
      <w:r>
        <w:t>оту и достоверность информации, полученной от третьих лиц.</w:t>
      </w:r>
    </w:p>
    <w:p w:rsidR="00000000" w:rsidRDefault="004153AA">
      <w:pPr>
        <w:pStyle w:val="a3"/>
      </w:pPr>
      <w:r>
        <w:t xml:space="preserve">Приложение 1: </w:t>
      </w:r>
      <w:hyperlink r:id="rId4" w:tgtFrame="_blank" w:history="1">
        <w:r>
          <w:rPr>
            <w:rStyle w:val="a4"/>
          </w:rPr>
          <w:t>Адрес в сети Интернет, по которому можно ознакомиться с дополните</w:t>
        </w:r>
        <w:r>
          <w:rPr>
            <w:rStyle w:val="a4"/>
          </w:rPr>
          <w:t>льной документацией</w:t>
        </w:r>
      </w:hyperlink>
    </w:p>
    <w:p w:rsidR="00000000" w:rsidRDefault="004153AA">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4153AA">
      <w:pPr>
        <w:rPr>
          <w:rFonts w:eastAsia="Times New Roman"/>
        </w:rPr>
      </w:pPr>
      <w:r>
        <w:rPr>
          <w:rFonts w:eastAsia="Times New Roman"/>
        </w:rPr>
        <w:br/>
      </w:r>
    </w:p>
    <w:p w:rsidR="004153AA" w:rsidRDefault="004153AA">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415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47DE0"/>
    <w:rsid w:val="004153AA"/>
    <w:rsid w:val="00747DE0"/>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E8C533-E575-4FE0-9BBF-377D6B88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69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f343c7359f51470e8edd74eef6c826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2023-06-22T04:53:00Z</dcterms:created>
  <dcterms:modified xsi:type="dcterms:W3CDTF">2023-06-22T04:53:00Z</dcterms:modified>
</cp:coreProperties>
</file>