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69D5">
      <w:pPr>
        <w:pStyle w:val="a3"/>
        <w:divId w:val="144804642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804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28521011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</w:p>
        </w:tc>
      </w:tr>
      <w:tr w:rsidR="00000000">
        <w:trPr>
          <w:divId w:val="144804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</w:p>
        </w:tc>
      </w:tr>
      <w:tr w:rsidR="00000000">
        <w:trPr>
          <w:divId w:val="144804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28452111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</w:p>
        </w:tc>
      </w:tr>
      <w:tr w:rsidR="00000000">
        <w:trPr>
          <w:divId w:val="144804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8046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69D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3"/>
        <w:gridCol w:w="62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 «Андреевский» отеля «Ренессанс Москва Монарх Центр» по адресу: г.</w:t>
            </w:r>
            <w:r>
              <w:rPr>
                <w:rFonts w:eastAsia="Times New Roman"/>
              </w:rPr>
              <w:br/>
              <w:t>Москва, Ленинградский проспект, д. 31А, корпус 1</w:t>
            </w:r>
          </w:p>
        </w:tc>
      </w:tr>
    </w:tbl>
    <w:p w:rsidR="00000000" w:rsidRDefault="00936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36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</w:tbl>
    <w:p w:rsidR="00000000" w:rsidRDefault="00936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36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«ГМК «Норильский никель»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«ГМК «Норильский никель»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консолидированной финансовой отчетности ПАО «ГМК «Норильский никель»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никель»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ПАО «ГМК «Норильский никель» за 2017 год, в том числе выплата (объявление) дивидендов по результатам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2017 год в соответствии с рекомендациями Совета директоров, содержащимися в докладе Совета директоров </w:t>
            </w:r>
            <w:r>
              <w:rPr>
                <w:rFonts w:eastAsia="Times New Roman"/>
              </w:rPr>
              <w:t>ПАО «ГМК «Норильский никель» с изложением мотивированной позиции Совета директоров ПАО «ГМК «Норильский никель» по вопросам повестки дня годового Общего собрания акционеров ПАО «ГМК «Норильский никель». 2. Выплатить дивиденды по обыкновенным именным акциям</w:t>
            </w:r>
            <w:r>
              <w:rPr>
                <w:rFonts w:eastAsia="Times New Roman"/>
              </w:rPr>
              <w:t xml:space="preserve"> ПАО «ГМК «Норильский никель» по результатам 2017 года в денежной форме в размере 607,98 рублей на одну обыкновенную акцию. 3. Установить дату, на которую определяются лица, имеющие право на получение дивидендов, 17 июля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ORDI </w:t>
            </w:r>
            <w:r>
              <w:rPr>
                <w:rFonts w:eastAsia="Times New Roman"/>
              </w:rPr>
              <w:t>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Волынца Артема Олеговича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Лихачева Андрея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Маннингса Роджера Левелина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Сокова Максима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Владислава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Арустамова Артура Гагиковича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Масалову Анну Викторовну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Сванидзе </w:t>
            </w:r>
            <w:r>
              <w:rPr>
                <w:rFonts w:eastAsia="Times New Roman"/>
              </w:rPr>
              <w:t xml:space="preserve">Георгия Эдуардовича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Шилькова Владимира Николаевича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Яневич Елену Александровну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российской бухгалтерской (финансовой)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российской бухгалтерской (финансовой) отчетности ПАО «ГМК «Норильский никель» за 2018 </w:t>
            </w:r>
            <w:r>
              <w:rPr>
                <w:rFonts w:eastAsia="Times New Roman"/>
              </w:rPr>
              <w:t>год АО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консолидированной финансовой отчетности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2018 год АО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вознаграждениях и компенсации расходов членов Совета директоров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Членам Совета директоров ПАО «ГМК «Норильский никель» выплачивается вознаграждение и возмещаются расходы, связ</w:t>
            </w:r>
            <w:r>
              <w:rPr>
                <w:rFonts w:eastAsia="Times New Roman"/>
              </w:rPr>
              <w:t>анные с исполнением ими своих обязанностей, в соответствии с Политикой вознаграждения членов Совета директоров ОАО «ГМК «Норильский никель», утвержденной решением годового Общего собрания акционеров Компании 6 июня 2014 года. 2. Председателю Совета директо</w:t>
            </w:r>
            <w:r>
              <w:rPr>
                <w:rFonts w:eastAsia="Times New Roman"/>
              </w:rPr>
              <w:t>ров ПАО «ГМК «Норильский никель», избранному Председателем Совета директоров на первом заседании Совета директоров, проводимом после настоящего собрания, выплачивается вознаграждение, возмещаются расходы, связанные с исполнением им своих обязанностей, и ос</w:t>
            </w:r>
            <w:r>
              <w:rPr>
                <w:rFonts w:eastAsia="Times New Roman"/>
              </w:rPr>
              <w:t>уществляется его страхование от несчастных случаев, в следующих размерах и порядке: 2.1. вознаграждение в размере 1 000 000 (один миллион) долларов США в год выплачивается ежеквартально равными долями в рублях по курсу Центрального банка Российской Федерац</w:t>
            </w:r>
            <w:r>
              <w:rPr>
                <w:rFonts w:eastAsia="Times New Roman"/>
              </w:rPr>
              <w:t xml:space="preserve">ии на последний рабочий день отчетного квартала. Сумма вознаграждения приведена после удержания налогов в соответствии с действующим российски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вознаграждении членов Ревизионной комиссии ПАО «ГМК «Норильский никель».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вознаграждение для каждого члена Ревизионной комиссии ПАО «ГМК «Норильский никель», не являющего работником ПАО </w:t>
            </w:r>
            <w:r>
              <w:rPr>
                <w:rFonts w:eastAsia="Times New Roman"/>
              </w:rPr>
              <w:t xml:space="preserve">«ГМК «Норильский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Правления ПАО</w:t>
            </w:r>
            <w:r>
              <w:rPr>
                <w:rFonts w:eastAsia="Times New Roman"/>
              </w:rPr>
              <w:t xml:space="preserve">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взаимосвязанных сделок, в совершении которых имеется заинтересованность всех членов Совета директоров </w:t>
            </w:r>
            <w:r>
              <w:rPr>
                <w:rFonts w:eastAsia="Times New Roman"/>
              </w:rPr>
              <w:t>и членов Правления ПАО «ГМК «Норильский никель», предметом которых является обязательство ПАО «ГМК «Норильский никель» по возмещению членам Совета директоров и членам Правления ПАО «ГМК «Норильский никель» убытков, которые указанные лица могут понести в св</w:t>
            </w:r>
            <w:r>
              <w:rPr>
                <w:rFonts w:eastAsia="Times New Roman"/>
              </w:rPr>
              <w:t xml:space="preserve">язи с назначением их на соответствующие должности,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</w:t>
            </w:r>
            <w:r>
              <w:rPr>
                <w:rFonts w:eastAsia="Times New Roman"/>
              </w:rPr>
              <w:t xml:space="preserve"> сделки, в совершении которой имеется заинтересованность всех членов Совета директоров и членов Правления ПАО «ГМК «Норильский никель», предметом которой является страхование ответственности членов Совета директоров и членов Правления ПАО «ГМК «Норильский </w:t>
            </w:r>
            <w:r>
              <w:rPr>
                <w:rFonts w:eastAsia="Times New Roman"/>
              </w:rPr>
              <w:t>никель», являющихся выгодоприобретателями по данной сделке, российской страховой компанией, сроком на один год, с общим лимитом ответственности в размере не менее 200 000 000 (двести миллионов) долларов США, и лимитом ответственности по дополнительному рас</w:t>
            </w:r>
            <w:r>
              <w:rPr>
                <w:rFonts w:eastAsia="Times New Roman"/>
              </w:rPr>
              <w:t xml:space="preserve">ширению покрытия для основного договора в размере не менее 25 000 000 (двадцать пять миллионов) долларов США и с уплатой страховой премии, не превышающей 1 000 000 (один миллион) долларов США. 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«ГМК «Норильский никель» в Cаморегулируемой ассоциации «Красноярские строители».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69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в Саморегулируемой ассоциации «Красноярские строители».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6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9369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369D5">
      <w:pPr>
        <w:rPr>
          <w:rFonts w:eastAsia="Times New Roman"/>
        </w:rPr>
      </w:pPr>
    </w:p>
    <w:p w:rsidR="00000000" w:rsidRDefault="009369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69D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2017 год.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«ГМК «Норильский никель» за 2017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2017 год.</w:t>
      </w:r>
      <w:r>
        <w:rPr>
          <w:rFonts w:eastAsia="Times New Roman"/>
        </w:rPr>
        <w:br/>
        <w:t>4. О распределении прибыли ПАО «ГМК «Норильский ни</w:t>
      </w:r>
      <w:r>
        <w:rPr>
          <w:rFonts w:eastAsia="Times New Roman"/>
        </w:rPr>
        <w:t>кель» за 2017 год, в том числе выплата (объявление) дивидендов по результатам 2017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</w:t>
      </w:r>
      <w:r>
        <w:rPr>
          <w:rFonts w:eastAsia="Times New Roman"/>
        </w:rPr>
        <w:t>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компенсации расходов членов Совета директоров ПАО «ГМК</w:t>
      </w:r>
      <w:r>
        <w:rPr>
          <w:rFonts w:eastAsia="Times New Roman"/>
        </w:rPr>
        <w:t xml:space="preserve"> «Норильский никель».</w:t>
      </w:r>
      <w:r>
        <w:rPr>
          <w:rFonts w:eastAsia="Times New Roman"/>
        </w:rPr>
        <w:br/>
        <w:t>10. О вознаграждении членов Ревизионной комиссии ПАО «ГМК «Норильский никель».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имеется заинтересованность, по возмещению убытков членам Совета директоров и Прав</w:t>
      </w:r>
      <w:r>
        <w:rPr>
          <w:rFonts w:eastAsia="Times New Roman"/>
        </w:rPr>
        <w:t>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«Норильский никель».</w:t>
      </w:r>
      <w:r>
        <w:rPr>
          <w:rFonts w:eastAsia="Times New Roman"/>
        </w:rPr>
        <w:br/>
        <w:t xml:space="preserve">13. Об участии ПАО «ГМК «Норильский </w:t>
      </w:r>
      <w:r>
        <w:rPr>
          <w:rFonts w:eastAsia="Times New Roman"/>
        </w:rPr>
        <w:t xml:space="preserve">никель» в Cаморегулируемой ассоциации «Красноярские строители». </w:t>
      </w:r>
    </w:p>
    <w:p w:rsidR="00000000" w:rsidRDefault="009369D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</w:t>
      </w:r>
      <w:r>
        <w:t xml:space="preserve">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9369D5">
      <w:pPr>
        <w:pStyle w:val="a3"/>
      </w:pPr>
      <w:r>
        <w:t>4.6. Содержание и состав св</w:t>
      </w:r>
      <w:r>
        <w:t xml:space="preserve">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9369D5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9369D5">
      <w:pPr>
        <w:pStyle w:val="a3"/>
      </w:pPr>
      <w:r>
        <w:t>Направляем Вам поступивший в НКО АО НРД эл</w:t>
      </w:r>
      <w:r>
        <w:t xml:space="preserve">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</w:t>
      </w:r>
      <w:r>
        <w:t>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369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</w:t>
        </w:r>
        <w:r>
          <w:rPr>
            <w:rStyle w:val="a4"/>
          </w:rPr>
          <w:t>ернет, по которому можно ознакомиться с дополнительной документацией</w:t>
        </w:r>
      </w:hyperlink>
    </w:p>
    <w:p w:rsidR="009369D5" w:rsidRDefault="009369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</w:t>
      </w:r>
      <w:r>
        <w:t>count  manager (495) 956-27-90, (495) 956-27-91</w:t>
      </w:r>
    </w:p>
    <w:sectPr w:rsidR="0093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48C2"/>
    <w:rsid w:val="001B48C2"/>
    <w:rsid w:val="0093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2d66e12e2545d9b3bf9abade0e7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3198</Words>
  <Characters>18230</Characters>
  <Application>Microsoft Office Word</Application>
  <DocSecurity>0</DocSecurity>
  <Lines>151</Lines>
  <Paragraphs>42</Paragraphs>
  <ScaleCrop>false</ScaleCrop>
  <Company/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2018-06-07T05:28:00Z</dcterms:created>
  <dcterms:modified xsi:type="dcterms:W3CDTF">2018-06-07T05:28:00Z</dcterms:modified>
</cp:coreProperties>
</file>