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737D">
      <w:pPr>
        <w:pStyle w:val="a3"/>
        <w:divId w:val="103083512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30835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28986071</w:t>
            </w:r>
          </w:p>
        </w:tc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</w:tr>
      <w:tr w:rsidR="00000000">
        <w:trPr>
          <w:divId w:val="1030835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</w:tr>
      <w:tr w:rsidR="00000000">
        <w:trPr>
          <w:divId w:val="1030835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28580955</w:t>
            </w:r>
          </w:p>
        </w:tc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</w:tr>
      <w:tr w:rsidR="00000000">
        <w:trPr>
          <w:divId w:val="1030835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0835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737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1"/>
        <w:gridCol w:w="61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дом 37 корп.9, здание Отеля «Аэрост</w:t>
            </w:r>
            <w:r>
              <w:rPr>
                <w:rFonts w:eastAsia="Times New Roman"/>
              </w:rPr>
              <w:br/>
              <w:t>ар».</w:t>
            </w:r>
          </w:p>
        </w:tc>
      </w:tr>
    </w:tbl>
    <w:p w:rsidR="00000000" w:rsidRDefault="001E7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8"/>
        <w:gridCol w:w="917"/>
        <w:gridCol w:w="1273"/>
        <w:gridCol w:w="1273"/>
        <w:gridCol w:w="1057"/>
        <w:gridCol w:w="1255"/>
        <w:gridCol w:w="1255"/>
        <w:gridCol w:w="13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E7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351571</w:t>
            </w:r>
          </w:p>
        </w:tc>
      </w:tr>
    </w:tbl>
    <w:p w:rsidR="00000000" w:rsidRDefault="001E7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E7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«Дивиденды по обыкновенным именным бездокументарным </w:t>
            </w:r>
            <w:r>
              <w:rPr>
                <w:rFonts w:eastAsia="Times New Roman"/>
              </w:rPr>
              <w:t>акциям не выплачивать. Выплатить дивиденды по привилегированным именным бездокументарным акциям в размере 16 рублей 66 копеек на одну акцию. Установить дату, на которую определяются лица, имеющих право на получение дивидендов по привилегированным именным б</w:t>
            </w:r>
            <w:r>
              <w:rPr>
                <w:rFonts w:eastAsia="Times New Roman"/>
              </w:rPr>
              <w:t>ездокументарным акциям - 18 июля 2018г. Выплату произвести денежными средствами в безналичном порядке в порядке, предусмотренном действующим законодательством РФ. Утвердить распределение части накопленной прибыли прошлых лет в предложенном варианте: - на в</w:t>
            </w:r>
            <w:r>
              <w:rPr>
                <w:rFonts w:eastAsia="Times New Roman"/>
              </w:rPr>
              <w:t>ыплату дивидендов по размещенным привилегированным акциям Общества - 2 311 690 203 рублей 90 копеек; -на покрытие убытка за 2017 г.- 15 204 268 696 рублей 65 копейки; - остаток прибыли прошлых лет в размере - 8 589 233 330 рублей 93 копеек - оставить нерас</w:t>
            </w:r>
            <w:r>
              <w:rPr>
                <w:rFonts w:eastAsia="Times New Roman"/>
              </w:rPr>
              <w:t xml:space="preserve">пределенным»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246535693</w:t>
            </w:r>
            <w:r>
              <w:rPr>
                <w:rFonts w:eastAsia="Times New Roman"/>
              </w:rPr>
              <w:br/>
              <w:t>Против: 514062</w:t>
            </w:r>
            <w:r>
              <w:rPr>
                <w:rFonts w:eastAsia="Times New Roman"/>
              </w:rPr>
              <w:br/>
              <w:t>Воздержался: 411693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членами Совета директоров Публичного акционерного общества «Мечел»: 1. Зюзин Игорь Владимирович 2. Коржов Олег Викторович </w:t>
            </w:r>
            <w:r>
              <w:rPr>
                <w:rFonts w:eastAsia="Times New Roman"/>
              </w:rPr>
              <w:t xml:space="preserve">3. Шохин Александр Николаевич 4. Орищин Александр Дмитриевич 5. Малышев Юрий Николаевич 6. Коцкий Александр Николаевич 7. Петров Георгий Георгиевич 8. Хачатуров Тигран Гарикович 9. Тригубко Виктор Александрович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28690947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212688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313148460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308988650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231479283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230351739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230351742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222624104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230351988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Хачатуров Тигран Гарикович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215378792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Тригубко Виктор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215490281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«3. Избрать членами ревизионной комиссии Публичного акционерного общества «Мечел»: 1. Зыкову Наталью Сергеевну; 2. Капралова Алексан</w:t>
            </w:r>
            <w:r>
              <w:rPr>
                <w:rFonts w:eastAsia="Times New Roman"/>
              </w:rPr>
              <w:t xml:space="preserve">дра Николаевича; 3. Болховских Ирину Викторовну.»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акционерного общества «Мечел» - Акционерное общество «Энерджи Консалтинг»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243727138</w:t>
            </w:r>
            <w:r>
              <w:rPr>
                <w:rFonts w:eastAsia="Times New Roman"/>
              </w:rPr>
              <w:br/>
              <w:t>Против: 3354335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310904</w:t>
            </w:r>
          </w:p>
        </w:tc>
      </w:tr>
    </w:tbl>
    <w:p w:rsidR="00000000" w:rsidRDefault="001E737D">
      <w:pPr>
        <w:rPr>
          <w:rFonts w:eastAsia="Times New Roman"/>
        </w:rPr>
      </w:pPr>
    </w:p>
    <w:p w:rsidR="00000000" w:rsidRDefault="001E737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</w:t>
      </w:r>
      <w:r>
        <w:t xml:space="preserve">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E737D">
      <w:pPr>
        <w:pStyle w:val="a3"/>
      </w:pPr>
      <w:r>
        <w:t xml:space="preserve">4.10. Информация о решениях, принятых общим собранием акционеров, а </w:t>
      </w:r>
      <w:r>
        <w:t>также об итогах голосования на общем собрании акционеров.</w:t>
      </w:r>
    </w:p>
    <w:p w:rsidR="00000000" w:rsidRDefault="001E737D">
      <w:pPr>
        <w:pStyle w:val="a3"/>
      </w:pPr>
      <w:r>
        <w:t>3.1 Решение не принято по причине отсутствия кворума</w:t>
      </w:r>
    </w:p>
    <w:p w:rsidR="00000000" w:rsidRDefault="001E737D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</w:t>
      </w:r>
      <w:r>
        <w:t>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E73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E737D" w:rsidRDefault="001E737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E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B746B"/>
    <w:rsid w:val="001E737D"/>
    <w:rsid w:val="00AB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50b749cda54058a6d6c270e4296a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2018-07-03T09:42:00Z</dcterms:created>
  <dcterms:modified xsi:type="dcterms:W3CDTF">2018-07-03T09:42:00Z</dcterms:modified>
</cp:coreProperties>
</file>