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2316">
      <w:pPr>
        <w:pStyle w:val="a3"/>
        <w:divId w:val="370807358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70807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65956416</w:t>
            </w:r>
          </w:p>
        </w:tc>
        <w:tc>
          <w:tcPr>
            <w:tcW w:w="0" w:type="auto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</w:p>
        </w:tc>
      </w:tr>
      <w:tr w:rsidR="00000000">
        <w:trPr>
          <w:divId w:val="370807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</w:p>
        </w:tc>
      </w:tr>
      <w:tr w:rsidR="00000000">
        <w:trPr>
          <w:divId w:val="370807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0807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231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Об отмене корпоративного действия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2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690328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123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2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690328X9353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123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64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2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в связи с отменой собрания эмитентом</w:t>
            </w:r>
          </w:p>
        </w:tc>
      </w:tr>
    </w:tbl>
    <w:p w:rsidR="00000000" w:rsidRDefault="00412316">
      <w:pPr>
        <w:rPr>
          <w:rFonts w:eastAsia="Times New Roman"/>
        </w:rPr>
      </w:pPr>
    </w:p>
    <w:p w:rsidR="00000000" w:rsidRDefault="0041231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12316">
      <w:pPr>
        <w:pStyle w:val="a3"/>
      </w:pPr>
      <w:r>
        <w:t xml:space="preserve">4.6 Информация об объявлении общего собрания акционеров эмитента несостоявшимся </w:t>
      </w:r>
    </w:p>
    <w:p w:rsidR="00000000" w:rsidRDefault="00412316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12316">
      <w:pPr>
        <w:rPr>
          <w:rFonts w:eastAsia="Times New Roman"/>
        </w:rPr>
      </w:pPr>
      <w:r>
        <w:rPr>
          <w:rFonts w:eastAsia="Times New Roman"/>
        </w:rPr>
        <w:br/>
      </w:r>
    </w:p>
    <w:p w:rsidR="00412316" w:rsidRDefault="00412316">
      <w:pPr>
        <w:pStyle w:val="HTML"/>
      </w:pPr>
      <w:r>
        <w:t xml:space="preserve">Настоящий документ является </w:t>
      </w:r>
      <w:r>
        <w:t>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1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4AFD"/>
    <w:rsid w:val="00284AFD"/>
    <w:rsid w:val="0041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3969B6-F93F-4A35-BF0E-1D9A36AB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2022-05-11T04:59:00Z</dcterms:created>
  <dcterms:modified xsi:type="dcterms:W3CDTF">2022-05-11T04:59:00Z</dcterms:modified>
</cp:coreProperties>
</file>