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A1D3A">
      <w:pPr>
        <w:pStyle w:val="a3"/>
        <w:divId w:val="2883934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88393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1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1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86051943</w:t>
            </w:r>
          </w:p>
        </w:tc>
        <w:tc>
          <w:tcPr>
            <w:tcW w:w="0" w:type="auto"/>
            <w:vAlign w:val="center"/>
            <w:hideMark/>
          </w:tcPr>
          <w:p w:rsidR="00000000" w:rsidRDefault="006A1D3A">
            <w:pPr>
              <w:rPr>
                <w:rFonts w:eastAsia="Times New Roman"/>
              </w:rPr>
            </w:pPr>
          </w:p>
        </w:tc>
      </w:tr>
      <w:tr w:rsidR="00000000">
        <w:trPr>
          <w:divId w:val="288393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1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1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1D3A">
            <w:pPr>
              <w:rPr>
                <w:rFonts w:eastAsia="Times New Roman"/>
              </w:rPr>
            </w:pPr>
          </w:p>
        </w:tc>
      </w:tr>
      <w:tr w:rsidR="00000000">
        <w:trPr>
          <w:divId w:val="288393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1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1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1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8393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1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1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1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A1D3A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1D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D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866875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D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D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февраля 2024 г. 01:00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D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</w:tbl>
    <w:p w:rsidR="00000000" w:rsidRDefault="006A1D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A1D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D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D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D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D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D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D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D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D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866875X58871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6A1D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1D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2024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1D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</w:t>
            </w:r>
            <w:r>
              <w:rPr>
                <w:rFonts w:eastAsia="Times New Roman"/>
              </w:rPr>
              <w:t xml:space="preserve">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A1D3A">
      <w:pPr>
        <w:rPr>
          <w:rFonts w:eastAsia="Times New Roman"/>
        </w:rPr>
      </w:pPr>
    </w:p>
    <w:p w:rsidR="00000000" w:rsidRDefault="006A1D3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A1D3A">
      <w:pPr>
        <w:rPr>
          <w:rFonts w:eastAsia="Times New Roman"/>
        </w:rPr>
      </w:pPr>
      <w:r>
        <w:rPr>
          <w:rFonts w:eastAsia="Times New Roman"/>
        </w:rPr>
        <w:t>1. Досрочное прекращение полномочий членов совета директоров Компании.</w:t>
      </w:r>
      <w:r>
        <w:rPr>
          <w:rFonts w:eastAsia="Times New Roman"/>
        </w:rPr>
        <w:br/>
        <w:t xml:space="preserve">2. Избрание членов совета директоров Компании. </w:t>
      </w:r>
    </w:p>
    <w:p w:rsidR="00000000" w:rsidRDefault="006A1D3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</w:t>
      </w:r>
      <w:r>
        <w:t xml:space="preserve">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</w:t>
      </w:r>
      <w:r>
        <w:t>доступа к такой информации"</w:t>
      </w:r>
    </w:p>
    <w:p w:rsidR="00000000" w:rsidRDefault="006A1D3A">
      <w:pPr>
        <w:pStyle w:val="a3"/>
      </w:pPr>
      <w:r>
        <w:t>4.2 Информация о созыве общего собрания акционеров эмитента</w:t>
      </w:r>
    </w:p>
    <w:p w:rsidR="00000000" w:rsidRDefault="006A1D3A">
      <w:pPr>
        <w:pStyle w:val="a3"/>
      </w:pPr>
      <w:r>
        <w:t>Вопросы определения места и времени проведения Внеочередного общего собрания акционеров Эмитента, почтового адреса для направления заполненных бюллетеней для голосовани</w:t>
      </w:r>
      <w:r>
        <w:t>я и адреса сайта в сети «Интернет», на котором заполняются электронные формы бюллетеней для голосования; время начала регистрации лиц, принимающих участие в общем собрании участников (акционеров) эмитента (в случае проведения общего собрания в форме собран</w:t>
      </w:r>
      <w:r>
        <w:t>ия (совместного присутствия); порядок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адрес, по которому с ней можно ознакомиться будут рассмотрены и опреде</w:t>
      </w:r>
      <w:r>
        <w:t>лены Советом директоров Эмитента позже.</w:t>
      </w:r>
    </w:p>
    <w:p w:rsidR="00000000" w:rsidRDefault="006A1D3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</w:t>
      </w:r>
      <w:r>
        <w:t>0, (495) 956-27-91</w:t>
      </w:r>
    </w:p>
    <w:p w:rsidR="00000000" w:rsidRDefault="006A1D3A">
      <w:pPr>
        <w:rPr>
          <w:rFonts w:eastAsia="Times New Roman"/>
        </w:rPr>
      </w:pPr>
      <w:r>
        <w:rPr>
          <w:rFonts w:eastAsia="Times New Roman"/>
        </w:rPr>
        <w:br/>
      </w:r>
    </w:p>
    <w:p w:rsidR="006A1D3A" w:rsidRDefault="006A1D3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A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F07BF"/>
    <w:rsid w:val="001F07BF"/>
    <w:rsid w:val="006A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F13CDF-BEF7-4189-9D2B-CB936C1C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2023-11-28T04:10:00Z</dcterms:created>
  <dcterms:modified xsi:type="dcterms:W3CDTF">2023-11-28T04:10:00Z</dcterms:modified>
</cp:coreProperties>
</file>