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7B46">
      <w:pPr>
        <w:pStyle w:val="a3"/>
        <w:divId w:val="16660568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60568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39890368</w:t>
            </w:r>
          </w:p>
        </w:tc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</w:p>
        </w:tc>
      </w:tr>
      <w:tr w:rsidR="00000000">
        <w:trPr>
          <w:divId w:val="16660568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</w:p>
        </w:tc>
      </w:tr>
      <w:tr w:rsidR="00000000">
        <w:trPr>
          <w:divId w:val="16660568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60568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7B4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490863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7B4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57B4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</w:t>
            </w:r>
          </w:p>
        </w:tc>
      </w:tr>
    </w:tbl>
    <w:p w:rsidR="00000000" w:rsidRDefault="00057B4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3"/>
        <w:gridCol w:w="221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057B46">
      <w:pPr>
        <w:rPr>
          <w:rFonts w:eastAsia="Times New Roman"/>
        </w:rPr>
      </w:pPr>
    </w:p>
    <w:p w:rsidR="00000000" w:rsidRDefault="00057B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7B46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Утверждение годового отчета </w:t>
      </w:r>
      <w:r>
        <w:rPr>
          <w:rFonts w:eastAsia="Times New Roman"/>
        </w:rPr>
        <w:t>ПАО «Газпром нефть» за 2019 год.</w:t>
      </w:r>
      <w:r>
        <w:rPr>
          <w:rFonts w:eastAsia="Times New Roman"/>
        </w:rPr>
        <w:br/>
        <w:t>2. Утверждение годовой бухгалтерской (финансовой) отчетности, в том числе отчета о финансовых результатах ПАО «Газпром нефть» за 2019 год.</w:t>
      </w:r>
      <w:r>
        <w:rPr>
          <w:rFonts w:eastAsia="Times New Roman"/>
        </w:rPr>
        <w:br/>
        <w:t xml:space="preserve">3. О распределении прибыли ПАО «Газпром нефть» за 2019 год. </w:t>
      </w:r>
      <w:r>
        <w:rPr>
          <w:rFonts w:eastAsia="Times New Roman"/>
        </w:rPr>
        <w:br/>
        <w:t>4. О размере дивидендов</w:t>
      </w:r>
      <w:r>
        <w:rPr>
          <w:rFonts w:eastAsia="Times New Roman"/>
        </w:rPr>
        <w:t>, форме и сроках их выплаты, а также о дате, на которую определяются лица, имеющие право на получение дивидендов по результатам 2019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Избрание членов Ревизионной комиссии ПАО «Газпром нефть»</w:t>
      </w:r>
      <w:r>
        <w:rPr>
          <w:rFonts w:eastAsia="Times New Roman"/>
        </w:rPr>
        <w:t>.</w:t>
      </w:r>
      <w:r>
        <w:rPr>
          <w:rFonts w:eastAsia="Times New Roman"/>
        </w:rPr>
        <w:br/>
        <w:t>7. Утверждение аудитора ПАО «Газпром нефть» на 2020 год.</w:t>
      </w:r>
      <w:r>
        <w:rPr>
          <w:rFonts w:eastAsia="Times New Roman"/>
        </w:rPr>
        <w:br/>
        <w:t>8.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9. О вознаграждении членов Ревизионной комиссии ПАО «Газпром нефть». </w:t>
      </w:r>
    </w:p>
    <w:p w:rsidR="00000000" w:rsidRDefault="00057B46">
      <w:pPr>
        <w:pStyle w:val="a3"/>
      </w:pPr>
      <w:r>
        <w:t>Настоящим сообщаем о получении НКО АО НРД информации, предост</w:t>
      </w:r>
      <w:r>
        <w:t>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</w:t>
      </w:r>
      <w:r>
        <w:t xml:space="preserve"> а также о требованиях к порядку предоставления центральным депозитарием доступа к такой информации". </w:t>
      </w:r>
    </w:p>
    <w:p w:rsidR="00000000" w:rsidRDefault="00057B46">
      <w:pPr>
        <w:pStyle w:val="a3"/>
      </w:pPr>
      <w:r>
        <w:t>4.2. Информация о созыве общего собрания акционеров эмитента.</w:t>
      </w:r>
    </w:p>
    <w:p w:rsidR="00000000" w:rsidRDefault="00057B46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57B46" w:rsidRDefault="00057B46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</w:t>
      </w:r>
      <w:r>
        <w:t>Полная информация содержится непосредственно в электронном документе.</w:t>
      </w:r>
    </w:p>
    <w:sectPr w:rsidR="0005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1676"/>
    <w:rsid w:val="00057B46"/>
    <w:rsid w:val="00A3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150979-4CD0-494F-BC9A-24A0C3C4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5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2020-04-29T04:18:00Z</dcterms:created>
  <dcterms:modified xsi:type="dcterms:W3CDTF">2020-04-29T04:18:00Z</dcterms:modified>
</cp:coreProperties>
</file>