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1AB3">
      <w:pPr>
        <w:pStyle w:val="a3"/>
        <w:divId w:val="9859373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5937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95934137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</w:p>
        </w:tc>
      </w:tr>
      <w:tr w:rsidR="00000000">
        <w:trPr>
          <w:divId w:val="985937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</w:p>
        </w:tc>
      </w:tr>
      <w:tr w:rsidR="00000000">
        <w:trPr>
          <w:divId w:val="985937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5937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1AB3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4B02-20-32432-H-001P / ISIN RU000A1038M5)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604259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</w:tbl>
    <w:p w:rsidR="00000000" w:rsidRDefault="00551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604259X66119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1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и</w:t>
            </w:r>
            <w:r>
              <w:rPr>
                <w:rFonts w:eastAsia="Times New Roman"/>
              </w:rPr>
              <w:t>юня 2024 г. по 11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551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AB3">
            <w:pPr>
              <w:rPr>
                <w:rFonts w:eastAsia="Times New Roman"/>
              </w:rPr>
            </w:pPr>
          </w:p>
        </w:tc>
      </w:tr>
    </w:tbl>
    <w:p w:rsidR="00000000" w:rsidRDefault="00551AB3">
      <w:pPr>
        <w:rPr>
          <w:rFonts w:eastAsia="Times New Roman"/>
        </w:rPr>
      </w:pPr>
    </w:p>
    <w:p w:rsidR="00000000" w:rsidRDefault="00551AB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51AB3">
      <w:pPr>
        <w:pStyle w:val="a3"/>
      </w:pPr>
      <w:r>
        <w:t>13.2. О возникновении у владельцев облигаций права требовать от эмитента досрочного погашен</w:t>
      </w:r>
      <w:r>
        <w:t xml:space="preserve">ия или приобретения принадлежащих им облигаций. </w:t>
      </w:r>
    </w:p>
    <w:p w:rsidR="00000000" w:rsidRDefault="00551A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51A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1AB3">
      <w:pPr>
        <w:rPr>
          <w:rFonts w:eastAsia="Times New Roman"/>
        </w:rPr>
      </w:pPr>
      <w:r>
        <w:rPr>
          <w:rFonts w:eastAsia="Times New Roman"/>
        </w:rPr>
        <w:br/>
      </w:r>
    </w:p>
    <w:p w:rsidR="00551AB3" w:rsidRDefault="00551A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6F03"/>
    <w:rsid w:val="00551AB3"/>
    <w:rsid w:val="008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B3759-080C-4C25-8377-3E1EDD78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6d823b20bf48a2b5681a6b718cb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2024-05-27T06:30:00Z</dcterms:created>
  <dcterms:modified xsi:type="dcterms:W3CDTF">2024-05-27T06:30:00Z</dcterms:modified>
</cp:coreProperties>
</file>