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19ED">
      <w:pPr>
        <w:pStyle w:val="a3"/>
        <w:divId w:val="128793353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7933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65458596</w:t>
            </w:r>
          </w:p>
        </w:tc>
        <w:tc>
          <w:tcPr>
            <w:tcW w:w="0" w:type="auto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</w:p>
        </w:tc>
      </w:tr>
      <w:tr w:rsidR="00000000">
        <w:trPr>
          <w:divId w:val="1287933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</w:p>
        </w:tc>
      </w:tr>
      <w:tr w:rsidR="00000000">
        <w:trPr>
          <w:divId w:val="1287933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65152394</w:t>
            </w:r>
          </w:p>
        </w:tc>
        <w:tc>
          <w:tcPr>
            <w:tcW w:w="0" w:type="auto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</w:p>
        </w:tc>
      </w:tr>
      <w:tr w:rsidR="00000000">
        <w:trPr>
          <w:divId w:val="1287933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79335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19E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Polymetal International plc_ORD SHS (акция ISIN JE00B6T5S470)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1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686377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2022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2022 г.</w:t>
            </w:r>
          </w:p>
        </w:tc>
      </w:tr>
    </w:tbl>
    <w:p w:rsidR="00000000" w:rsidRDefault="008619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861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686377X15090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8619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861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9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8619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19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19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19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19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 15:00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9E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619E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619ED">
      <w:pPr>
        <w:rPr>
          <w:rFonts w:eastAsia="Times New Roman"/>
        </w:rPr>
      </w:pPr>
    </w:p>
    <w:p w:rsidR="00000000" w:rsidRDefault="008619ED">
      <w:pPr>
        <w:pStyle w:val="a3"/>
      </w:pPr>
      <w: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</w:t>
      </w:r>
      <w:r>
        <w:t xml:space="preserve">ров». </w:t>
      </w:r>
      <w:r>
        <w:br/>
      </w:r>
      <w:r>
        <w:br/>
        <w:t xml:space="preserve">При направлении инструкции депоненты должны руководствоваться требованиями, которые содержатся в тексте сообщения от Иностранного депозитария. </w:t>
      </w:r>
      <w:r>
        <w:br/>
        <w:t>Особенности заполнения инструкций на участие в собрании, а также специфика проведения собраний на иностр</w:t>
      </w:r>
      <w:r>
        <w:t>анных рынках описаны в документе «Порядок направления инструкций на участие в собрании через НКО АО НРД и особенности проведения собраний на иностранных рынках», который приложен к данному уведомлению.</w:t>
      </w:r>
      <w:r>
        <w:br/>
      </w:r>
      <w:r>
        <w:br/>
        <w:t>Обращаем Ваше внимание, что возможные требования к пр</w:t>
      </w:r>
      <w:r>
        <w:t>едоставлению деталей владельца и/или дополнительной документации также необходимо уточнять по тексту сообщения от Иностранного депозитария и в документе «Порядок направления инструкций на участие в собрании через НКО АО НРД и особенности проведения собрани</w:t>
      </w:r>
      <w:r>
        <w:t>й на иностранных рынках».</w:t>
      </w:r>
      <w:r>
        <w:br/>
        <w:t xml:space="preserve">При отклонении от форматов заполнения инструкций или использовании некорректных символов при передаче структурированной информации, инструкции на участие в КД будут отклонены Иностранным депозитарием. </w:t>
      </w:r>
      <w:r>
        <w:br/>
      </w:r>
      <w:r>
        <w:br/>
        <w:t>Порядок проведения корпорат</w:t>
      </w:r>
      <w:r>
        <w:t xml:space="preserve">ивного действия в НКО АО НРД: </w:t>
      </w:r>
      <w:r>
        <w:br/>
      </w:r>
      <w:r>
        <w:br/>
        <w:t>В соответствии с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и условиями проведения корпоративного действия, д</w:t>
      </w:r>
      <w:r>
        <w:t>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</w:t>
      </w:r>
      <w:r>
        <w:t xml:space="preserve">ми ЭДО НРД инструкцию по форме CA331 (код операции – 68/CAIN) на участие в корпоративном действии. </w:t>
      </w:r>
      <w:r>
        <w:br/>
      </w:r>
      <w:r>
        <w:br/>
        <w:t>В соответствии с условиями участия в корпоративном действии после приёма НКО АО НРД инструкции на участие в корпоративном действии, поданной до даты, следу</w:t>
      </w:r>
      <w:r>
        <w:t xml:space="preserve">ющей за датой фиксации списка, ценные бумаги, на которые подана инструкция, будут заблокированы на разделе «Блокировано для корпоративных действий» – </w:t>
      </w:r>
      <w:r>
        <w:lastRenderedPageBreak/>
        <w:t xml:space="preserve">83000000000000000 счета депо, по которому подана инструкция. Проинструктированные ценные бумаги останутся </w:t>
      </w:r>
      <w:r>
        <w:t>заблокированными до дня, следующего за датой фиксации, или подтверждения факта разблокировки Иностранным депозитарием. Обращаем внимание, что блокирование ценных бумаг на разделах «Ценные бумаги на индивидуальном счете в EUROCLEAR BANK» не осуществляется.</w:t>
      </w:r>
      <w:r>
        <w:br/>
      </w:r>
      <w:r>
        <w:br/>
        <w:t xml:space="preserve"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(Приложение № 9 к Порядку взаимодействия </w:t>
      </w:r>
      <w:r>
        <w:t>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депозитарий»).</w:t>
      </w:r>
      <w:r>
        <w:br/>
      </w:r>
      <w:r>
        <w:br/>
      </w:r>
      <w:r>
        <w:br/>
        <w:t>Депонент должен указать выбранный из перечисленных в уведомлении о ко</w:t>
      </w:r>
      <w:r>
        <w:t xml:space="preserve">рпоративном действии вариант корпоративного действия. 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 xml:space="preserve">По ценным бумагам, по которым не будет получено инструкций, НКО АО НРД не будет предпринимать никаких действий. </w:t>
      </w:r>
      <w:r>
        <w:br/>
      </w:r>
      <w:r>
        <w:br/>
        <w:t>Дополни</w:t>
      </w:r>
      <w:r>
        <w:t>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Euroclear Bank S.A./N.V.:</w:t>
      </w:r>
      <w:r>
        <w:br/>
        <w:t>NOTE/NO LEGAL DOCUMENTATION TO BE</w:t>
      </w:r>
      <w:r>
        <w:br/>
        <w:t>COMPLETED</w:t>
      </w:r>
      <w:r>
        <w:br/>
        <w:t>CAED/ANNUAL GENERAL MEETING</w:t>
      </w:r>
      <w:r>
        <w:br/>
        <w:t>--------------- EVENT DETAILS -------------------</w:t>
      </w:r>
      <w:r>
        <w:br/>
      </w:r>
      <w:r>
        <w:t>IMFT(20022)</w:t>
      </w:r>
      <w:r>
        <w:br/>
        <w:t>INXF(20022)</w:t>
      </w:r>
      <w:r>
        <w:br/>
        <w:t>COAF(708452)</w:t>
      </w:r>
      <w:r>
        <w:br/>
        <w:t>MTYP(GMET)</w:t>
      </w:r>
      <w:r>
        <w:br/>
        <w:t>MTGD(25/04/2022 09:00)</w:t>
      </w:r>
      <w:r>
        <w:br/>
        <w:t>QRMR(Y)</w:t>
      </w:r>
      <w:r>
        <w:br/>
        <w:t>ISSN(POLYMETAL INTERNATIONAL P)</w:t>
      </w:r>
      <w:r>
        <w:br/>
        <w:t>ICTY(JE)</w:t>
      </w:r>
      <w:r>
        <w:br/>
        <w:t>.</w:t>
      </w:r>
      <w:r>
        <w:br/>
        <w:t>METHOD OF PARTICIPATION</w:t>
      </w:r>
      <w:r>
        <w:br/>
        <w:t>.----------------------</w:t>
      </w:r>
      <w:r>
        <w:br/>
        <w:t>PAVA(Y)</w:t>
      </w:r>
      <w:r>
        <w:br/>
        <w:t>BODI(N)</w:t>
      </w:r>
      <w:r>
        <w:br/>
        <w:t>DURL(NO WEB ADDRESS AVAILABLE)</w:t>
      </w:r>
      <w:r>
        <w:br/>
        <w:t>.</w:t>
      </w:r>
      <w:r>
        <w:br/>
        <w:t>MEETING AGENDA</w:t>
      </w:r>
      <w:r>
        <w:br/>
        <w:t>.-------------</w:t>
      </w:r>
      <w:r>
        <w:br/>
        <w:t>LABL(1)</w:t>
      </w:r>
      <w:r>
        <w:br/>
        <w:t>DESC(TO RECEIVE THE COMPANY'S ANNUAL REPORT AND ACCOUNTS FOR THE</w:t>
      </w:r>
      <w:r>
        <w:br/>
        <w:t>YEAR ENDED 31 DECEMBER 2021 AND THE RELATED DIRECTORS ' REPORT</w:t>
      </w:r>
      <w:r>
        <w:br/>
        <w:t>AND AUDITOR'S REPORT)</w:t>
      </w:r>
      <w:r>
        <w:br/>
        <w:t>INFI(N)</w:t>
      </w:r>
      <w:r>
        <w:br/>
      </w:r>
      <w:r>
        <w:lastRenderedPageBreak/>
        <w:t>RSTA(ACTV)</w:t>
      </w:r>
      <w:r>
        <w:br/>
        <w:t>.</w:t>
      </w:r>
      <w:r>
        <w:br/>
        <w:t>LABL(2)</w:t>
      </w:r>
      <w:r>
        <w:br/>
        <w:t>DESC(TO RECEIVE AND APPROVE THE DIRECTORS' R EMUNERATION REPORT</w:t>
      </w:r>
      <w:r>
        <w:br/>
        <w:t>(EXCLUDING T</w:t>
      </w:r>
      <w:r>
        <w:t>HE DIRECTORS' REMUNERATION POLICY) SET OUT ON PAGES</w:t>
      </w:r>
      <w:r>
        <w:br/>
        <w:t>158 TO 176 OF THE ANNUAL REPORT AND ACCOUNTS FOR THE FINANCIAL Y</w:t>
      </w:r>
      <w:r>
        <w:br/>
        <w:t>EAR ENDED 31 DECEMBER 2021)</w:t>
      </w:r>
      <w:r>
        <w:br/>
        <w:t>INFI(N)</w:t>
      </w:r>
      <w:r>
        <w:br/>
        <w:t>RSTA(ACTV)</w:t>
      </w:r>
      <w:r>
        <w:br/>
        <w:t>.</w:t>
      </w:r>
      <w:r>
        <w:br/>
        <w:t>LABL(3)</w:t>
      </w:r>
      <w:r>
        <w:br/>
        <w:t>DESC(TO DECLARE A FINAL DIVIDEND OF USD 0.52 PER ORDINARY SHARE</w:t>
      </w:r>
      <w:r>
        <w:br/>
        <w:t xml:space="preserve">FOR THE FINANCIAL </w:t>
      </w:r>
      <w:r>
        <w:t>YEAR ENDED 31 DECEMBER 2021 CONDITIONAL ON THE</w:t>
      </w:r>
      <w:r>
        <w:br/>
        <w:t>DIRECTORS' RECOMMENDATION TO DECLARE THAT DIVIDEND REMAINING IN</w:t>
      </w:r>
      <w:r>
        <w:br/>
        <w:t>EFFE CT AS AT THE TIME THE RESOLUTION IS PUT TO THE MEETING)</w:t>
      </w:r>
      <w:r>
        <w:br/>
        <w:t>INFI(N)</w:t>
      </w:r>
      <w:r>
        <w:br/>
        <w:t>RSTA(ACTV)</w:t>
      </w:r>
      <w:r>
        <w:br/>
        <w:t>.</w:t>
      </w:r>
      <w:r>
        <w:br/>
        <w:t>LABL(4)</w:t>
      </w:r>
      <w:r>
        <w:br/>
        <w:t xml:space="preserve">DESC(TO RE-ELECT MR VITALY NESIS AS A DIRECT OR OF THE </w:t>
      </w:r>
      <w:r>
        <w:t>COMPANY)</w:t>
      </w:r>
      <w:r>
        <w:br/>
        <w:t>INFI(N)</w:t>
      </w:r>
      <w:r>
        <w:br/>
        <w:t>RSTA(ACTV)</w:t>
      </w:r>
      <w:r>
        <w:br/>
        <w:t>.</w:t>
      </w:r>
      <w:r>
        <w:br/>
        <w:t>LABL(5)</w:t>
      </w:r>
      <w:r>
        <w:br/>
        <w:t>DESC(TO RE-ELECT MR KONSTANTIN YANAKOV AS A DIRECTOR OF THE</w:t>
      </w:r>
      <w:r>
        <w:br/>
        <w:t>COMPANY)</w:t>
      </w:r>
      <w:r>
        <w:br/>
        <w:t>INFI(N)</w:t>
      </w:r>
      <w:r>
        <w:br/>
        <w:t>RSTA(ACTV)</w:t>
      </w:r>
      <w:r>
        <w:br/>
        <w:t>.</w:t>
      </w:r>
      <w:r>
        <w:br/>
        <w:t>LABL(6)</w:t>
      </w:r>
      <w:r>
        <w:br/>
        <w:t>DESC(TO RE-ELECT MR GIACOMO BAIZINI AS A DIR ECTOR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LABL(7)</w:t>
      </w:r>
      <w:r>
        <w:br/>
        <w:t>DESC(TO ELECT JANAT BERD</w:t>
      </w:r>
      <w:r>
        <w:t>ALINA AS A DIRECTOR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LABL(8)</w:t>
      </w:r>
      <w:r>
        <w:br/>
        <w:t>DESC(TO ELECT STEVEN DASHEVSKY AS A DIRECTOR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LABL(9)</w:t>
      </w:r>
      <w:r>
        <w:br/>
        <w:t>DESC(TO ELECT EVGUENI KONOVALENKO AS A DIREC 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LABL(10)</w:t>
      </w:r>
      <w:r>
        <w:br/>
        <w:t>DESC(T</w:t>
      </w:r>
      <w:r>
        <w:t>O ELECT RICCARDO ORCEL AS A DIRECTOR O F THE COMPANY)</w:t>
      </w:r>
      <w:r>
        <w:br/>
        <w:t>INFI(N)</w:t>
      </w:r>
      <w:r>
        <w:br/>
      </w:r>
      <w:r>
        <w:lastRenderedPageBreak/>
        <w:t>RSTA(ACTV)</w:t>
      </w:r>
      <w:r>
        <w:br/>
        <w:t>.</w:t>
      </w:r>
      <w:r>
        <w:br/>
        <w:t>LABL(11)</w:t>
      </w:r>
      <w:r>
        <w:br/>
        <w:t>DESC(TO ELECT PAUL J. OSTLING AS A DIRECTOR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LABL(12)</w:t>
      </w:r>
      <w:r>
        <w:br/>
        <w:t>DESC(TO PROVIDE THE REMUNERATION COMMITTEE W ITH THE FLEXIBILITY</w:t>
      </w:r>
      <w:r>
        <w:br/>
        <w:t>TO ADJUST THE PSP</w:t>
      </w:r>
      <w:r>
        <w:t xml:space="preserve"> MEASURES IN ADVANCE OF EACH AWARD)</w:t>
      </w:r>
      <w:r>
        <w:br/>
        <w:t>INFI(N)</w:t>
      </w:r>
      <w:r>
        <w:br/>
        <w:t>RSTA(ACTV)</w:t>
      </w:r>
      <w:r>
        <w:br/>
        <w:t>.</w:t>
      </w:r>
      <w:r>
        <w:br/>
        <w:t>LABL(13)</w:t>
      </w:r>
      <w:r>
        <w:br/>
        <w:t>DESC(AUTHORITY TO ALLOT SHARES)</w:t>
      </w:r>
      <w:r>
        <w:br/>
        <w:t>INFI(N)</w:t>
      </w:r>
      <w:r>
        <w:br/>
        <w:t>RSTA(ACTV)</w:t>
      </w:r>
      <w:r>
        <w:br/>
        <w:t>.</w:t>
      </w:r>
      <w:r>
        <w:br/>
        <w:t>LABL(14)</w:t>
      </w:r>
      <w:r>
        <w:br/>
        <w:t>DESC(DISAPPLICATION OF PRE-EMPTION RIGHTS)</w:t>
      </w:r>
      <w:r>
        <w:br/>
        <w:t>INFI(N)</w:t>
      </w:r>
      <w:r>
        <w:br/>
        <w:t>RSTA(ACTV)</w:t>
      </w:r>
      <w:r>
        <w:br/>
        <w:t>.</w:t>
      </w:r>
      <w:r>
        <w:br/>
        <w:t>LABL(15)</w:t>
      </w:r>
      <w:r>
        <w:br/>
        <w:t>DESC(DISAPPLICATION OF PRE-EMPTION RIGHTS FO R AN ADDIT</w:t>
      </w:r>
      <w:r>
        <w:t>IONAL FIVE</w:t>
      </w:r>
      <w:r>
        <w:br/>
        <w:t>PER CENT)</w:t>
      </w:r>
      <w:r>
        <w:br/>
        <w:t>INFI(N)</w:t>
      </w:r>
      <w:r>
        <w:br/>
        <w:t>RSTA(ACTV)</w:t>
      </w:r>
      <w:r>
        <w:br/>
        <w:t>.</w:t>
      </w:r>
      <w:r>
        <w:br/>
        <w:t>LABL(16)</w:t>
      </w:r>
      <w:r>
        <w:br/>
        <w:t>DESC(MARKET PURCHASES)</w:t>
      </w:r>
      <w:r>
        <w:br/>
        <w:t>INFI(N)</w:t>
      </w:r>
      <w:r>
        <w:br/>
        <w:t>RSTA(ACTV)</w:t>
      </w:r>
      <w:r>
        <w:br/>
        <w:t>.</w:t>
      </w:r>
      <w:r>
        <w:br/>
        <w:t>CODEWORD DICTIONARY TO DECODE</w:t>
      </w:r>
      <w:r>
        <w:br/>
        <w:t>.----------------------------</w:t>
      </w:r>
      <w:r>
        <w:br/>
        <w:t>ADRD-ADDITIONAL RIGHT DEADLINE</w:t>
      </w:r>
      <w:r>
        <w:br/>
        <w:t>ADRT-ADDITIONAL RIGHT CODE</w:t>
      </w:r>
      <w:r>
        <w:br/>
        <w:t>AMLN-ADDITIONAL MARKET DEADLINE</w:t>
      </w:r>
      <w:r>
        <w:br/>
        <w:t>ANOU-ANNOUN</w:t>
      </w:r>
      <w:r>
        <w:t>CEMENT DATE</w:t>
      </w:r>
      <w:r>
        <w:br/>
        <w:t>AURL-AGENDA URL ADDRESS</w:t>
      </w:r>
      <w:r>
        <w:br/>
        <w:t>AVIT-AGENDA VOTE INSTRUCTION TYPE</w:t>
      </w:r>
      <w:r>
        <w:br/>
        <w:t>BODI-BENEFICIAL OWNER DISCLOSURE</w:t>
      </w:r>
      <w:r>
        <w:br/>
        <w:t>COAF-COAF REFERENCE</w:t>
      </w:r>
      <w:r>
        <w:br/>
        <w:t>DESC-RESOLUTION DESCRIPTION</w:t>
      </w:r>
      <w:r>
        <w:br/>
        <w:t>DURL-ADDITIONAL DOCUMENTATION URL</w:t>
      </w:r>
      <w:r>
        <w:br/>
        <w:t>EEMA-ELECTRONIC VOTE EMAIL ADDRESS</w:t>
      </w:r>
      <w:r>
        <w:br/>
        <w:t>EURL-ELECTRONIC VOTE URL ADDRESS</w:t>
      </w:r>
      <w:r>
        <w:br/>
        <w:t>IAD</w:t>
      </w:r>
      <w:r>
        <w:t>R-ISSUER ADDRESS</w:t>
      </w:r>
      <w:r>
        <w:br/>
        <w:t>IADT-ISSUER ADDRESS TYPE</w:t>
      </w:r>
      <w:r>
        <w:br/>
        <w:t>ICTY-ISSUER COUNTRY CODE</w:t>
      </w:r>
      <w:r>
        <w:br/>
        <w:t>IMFT-INCOMING MESSAGE FORMAT</w:t>
      </w:r>
      <w:r>
        <w:br/>
      </w:r>
      <w:r>
        <w:lastRenderedPageBreak/>
        <w:t>INFI-FOR INFORMATION ONLY</w:t>
      </w:r>
      <w:r>
        <w:br/>
        <w:t>INXF-CLIENT INSTRUCTION FORMAT</w:t>
      </w:r>
      <w:r>
        <w:br/>
        <w:t>ISSN-ISSUER NAME</w:t>
      </w:r>
      <w:r>
        <w:br/>
        <w:t>LABL-RESOLUTION ISSUER LABEL</w:t>
      </w:r>
      <w:r>
        <w:br/>
        <w:t>LOCC-MEETING LOCATION CODE</w:t>
      </w:r>
      <w:r>
        <w:br/>
        <w:t>MADR-MEETING ADDRESS</w:t>
      </w:r>
      <w:r>
        <w:br/>
        <w:t>MADT-MEET</w:t>
      </w:r>
      <w:r>
        <w:t>ING ADDRESS TYPE</w:t>
      </w:r>
      <w:r>
        <w:br/>
        <w:t>MCTY-MEETING COUNTRY CODE</w:t>
      </w:r>
      <w:r>
        <w:br/>
        <w:t>MTHD-METHOD OF PARTICIPATION</w:t>
      </w:r>
      <w:r>
        <w:br/>
        <w:t>MTYP-ISO20022 MEETING TYPE</w:t>
      </w:r>
      <w:r>
        <w:br/>
        <w:t>PAVA-PARTIAL VOTE ALLOWED INDICATOR</w:t>
      </w:r>
      <w:r>
        <w:br/>
        <w:t>QRMN-QUORUM QUANTITY - NUMBER</w:t>
      </w:r>
      <w:r>
        <w:br/>
        <w:t>QRMP-QUORUM QUANTITY - PERCENTAGE</w:t>
      </w:r>
      <w:r>
        <w:br/>
        <w:t>QRMR-QUORUM REQUIRED</w:t>
      </w:r>
      <w:r>
        <w:br/>
        <w:t>RCON-RECONFIRM INSTRUCTIONS</w:t>
      </w:r>
      <w:r>
        <w:br/>
        <w:t>RPML-REG</w:t>
      </w:r>
      <w:r>
        <w:t>ISTRATION PARTICIPATION MARKET DEADLINE</w:t>
      </w:r>
      <w:r>
        <w:br/>
        <w:t>RSTA-RESOLUTION STATUS</w:t>
      </w:r>
      <w:r>
        <w:br/>
        <w:t>SRDI-SRD2 REGULATION INDICATOR</w:t>
      </w:r>
      <w:r>
        <w:br/>
        <w:t>TITL-RESOLUTION TITLE</w:t>
      </w:r>
      <w:r>
        <w:br/>
        <w:t>VADR-VOTE BY MAIL - ADDRESS</w:t>
      </w:r>
      <w:r>
        <w:br/>
        <w:t>VADT-VOTE BY MAIL - ADDRESS TYPE</w:t>
      </w:r>
      <w:r>
        <w:br/>
        <w:t>VCTY-VOTE BY MAIL - COUNTRY CODE</w:t>
      </w:r>
      <w:r>
        <w:br/>
        <w:t>VDLN-ISSUER DEADLINE FOR VOTING</w:t>
      </w:r>
      <w:r>
        <w:br/>
        <w:t>VOTT-VOTE TYPE</w:t>
      </w:r>
      <w:r>
        <w:br/>
        <w:t>VTEL-VOTE BY TELEPHONE NUMBER</w:t>
      </w:r>
      <w:r>
        <w:br/>
        <w:t>VTNK-VOTE THROUGH NETWORK</w:t>
      </w:r>
      <w:r>
        <w:br/>
        <w:t>.</w:t>
      </w:r>
      <w:r>
        <w:br/>
        <w:t>--------------- ACTION TO BE TAKEN -------------------</w:t>
      </w:r>
      <w:r>
        <w:br/>
        <w:t>.</w:t>
      </w:r>
      <w:r>
        <w:br/>
        <w:t>FOR MORE INFORMATION ON HOW TO INSTRUCT, REFER TO MYSTANDARDS AND</w:t>
      </w:r>
      <w:r>
        <w:br/>
        <w:t xml:space="preserve">TO THE MEETING GUIDE AVAILABLE AT MY.EUROCLEAR.COM </w:t>
      </w:r>
    </w:p>
    <w:p w:rsidR="00000000" w:rsidRDefault="008619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619ED">
      <w:pPr>
        <w:pStyle w:val="HTML"/>
      </w:pPr>
      <w:r>
        <w:t>По всем вопросам, связанным с настоящим сообщением, Вы можете</w:t>
      </w:r>
      <w:r>
        <w:t xml:space="preserve">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619ED">
      <w:pPr>
        <w:rPr>
          <w:rFonts w:eastAsia="Times New Roman"/>
        </w:rPr>
      </w:pPr>
      <w:r>
        <w:rPr>
          <w:rFonts w:eastAsia="Times New Roman"/>
        </w:rPr>
        <w:br/>
      </w:r>
    </w:p>
    <w:p w:rsidR="008619ED" w:rsidRDefault="008619ED">
      <w:pPr>
        <w:pStyle w:val="HTML"/>
      </w:pPr>
      <w:r>
        <w:t>Настоящий документ является визуализированной формой электронного документа и со</w:t>
      </w:r>
      <w:r>
        <w:t>держит существенную информацию. Полная информация содержится непосредственно в электронном документе.</w:t>
      </w:r>
    </w:p>
    <w:sectPr w:rsidR="0086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2BE0"/>
    <w:rsid w:val="008619ED"/>
    <w:rsid w:val="0092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F22A97-E1B0-4658-A6D1-09436A55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886bd50f8343cc968b875df28ae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2022-04-22T04:21:00Z</dcterms:created>
  <dcterms:modified xsi:type="dcterms:W3CDTF">2022-04-22T04:21:00Z</dcterms:modified>
</cp:coreProperties>
</file>