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0EAE">
      <w:pPr>
        <w:pStyle w:val="a3"/>
        <w:divId w:val="3613710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6137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90716286</w:t>
            </w:r>
          </w:p>
        </w:tc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</w:p>
        </w:tc>
      </w:tr>
      <w:tr w:rsidR="00000000">
        <w:trPr>
          <w:divId w:val="36137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</w:p>
        </w:tc>
      </w:tr>
      <w:tr w:rsidR="00000000">
        <w:trPr>
          <w:divId w:val="36137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1371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0EA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E0E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901090X69578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E0E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2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4E0EAE">
      <w:pPr>
        <w:rPr>
          <w:rFonts w:eastAsia="Times New Roman"/>
        </w:rPr>
      </w:pPr>
    </w:p>
    <w:p w:rsidR="00000000" w:rsidRDefault="004E0E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E0EA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2024 года. </w:t>
      </w:r>
      <w:r>
        <w:rPr>
          <w:rFonts w:eastAsia="Times New Roman"/>
        </w:rPr>
        <w:br/>
        <w:t>2. О распределении (оставлении нераспределенной) остатка чистой прибыли Общества по итогам 2022 год</w:t>
      </w:r>
      <w:r>
        <w:rPr>
          <w:rFonts w:eastAsia="Times New Roman"/>
        </w:rPr>
        <w:t xml:space="preserve">а. </w:t>
      </w:r>
    </w:p>
    <w:p w:rsidR="00000000" w:rsidRDefault="004E0EA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</w:t>
      </w:r>
      <w:r>
        <w:t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E0EAE">
      <w:pPr>
        <w:pStyle w:val="a3"/>
      </w:pPr>
      <w:r>
        <w:t>4.2 Информация о созыве общего собрания акционеров эмитента</w:t>
      </w:r>
    </w:p>
    <w:p w:rsidR="00000000" w:rsidRDefault="004E0E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E0EAE">
      <w:pPr>
        <w:rPr>
          <w:rFonts w:eastAsia="Times New Roman"/>
        </w:rPr>
      </w:pPr>
      <w:r>
        <w:rPr>
          <w:rFonts w:eastAsia="Times New Roman"/>
        </w:rPr>
        <w:br/>
      </w:r>
    </w:p>
    <w:p w:rsidR="004E0EAE" w:rsidRDefault="004E0EA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7AC6"/>
    <w:rsid w:val="004E0EAE"/>
    <w:rsid w:val="005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22325B-74F1-4078-9307-C014A399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2024-03-07T06:06:00Z</dcterms:created>
  <dcterms:modified xsi:type="dcterms:W3CDTF">2024-03-07T06:06:00Z</dcterms:modified>
</cp:coreProperties>
</file>