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175">
      <w:pPr>
        <w:pStyle w:val="a3"/>
        <w:divId w:val="108364828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364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77683323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</w:tr>
      <w:tr w:rsidR="00000000">
        <w:trPr>
          <w:divId w:val="108364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</w:tr>
      <w:tr w:rsidR="00000000">
        <w:trPr>
          <w:divId w:val="108364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77635515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</w:tr>
      <w:tr w:rsidR="00000000">
        <w:trPr>
          <w:divId w:val="108364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64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317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31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788251X12181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731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</w:tr>
    </w:tbl>
    <w:p w:rsidR="00000000" w:rsidRDefault="002731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2731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2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2022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2022 отчетного года не распределять. Дивиденды по размещенным обыкновенным акциям ПАО «Распадская» по результатам 2022 отчетного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организации для проведения аудита годовой бухгалтерской (финансовой) отчетности ПАО «Распадская» по рос</w:t>
            </w:r>
            <w:r>
              <w:rPr>
                <w:rFonts w:eastAsia="Times New Roman"/>
              </w:rPr>
              <w:t>сийским стандартам (положениям) бухгалтерского учета за 2023 год и консолидированной финансовой отчетности ПАО «Распадская» и его дочерних обществ за 2023 год, подготовленную в соответствии с МСФО и Федеральным законом от 27.07.2010 г. № 208-ФЗ (со всеми и</w:t>
            </w:r>
            <w:r>
              <w:rPr>
                <w:rFonts w:eastAsia="Times New Roman"/>
              </w:rPr>
              <w:t>зменениями) «О консолидированной финансовой отчетности».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«Распадская»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«Распадская» в новой редакции согласно проекту (Приложение № 3), входящему в состав информации (материалов), подлежащей (подлежащих) предоставлению </w:t>
            </w:r>
            <w:r>
              <w:rPr>
                <w:rFonts w:eastAsia="Times New Roman"/>
              </w:rPr>
              <w:t>лицам, имеющим право на участие в годовом общем собрании акционеров, при подготовке к проведению годового общего собрания акционеров и размещенному на сайте ПАО «Распадская» в сети Интернет по адресу: https://www.raspadskaya.com/ru/.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Крутько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Новоженов Денис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31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Щеглов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3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31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3175">
      <w:pPr>
        <w:rPr>
          <w:rFonts w:eastAsia="Times New Roman"/>
        </w:rPr>
      </w:pPr>
    </w:p>
    <w:p w:rsidR="00000000" w:rsidRDefault="002731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317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2022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ПАО «Распадская» по результатам 2022 года.</w:t>
      </w:r>
      <w:r>
        <w:rPr>
          <w:rFonts w:eastAsia="Times New Roman"/>
        </w:rPr>
        <w:br/>
        <w:t>3. Назначение аудиторско</w:t>
      </w:r>
      <w:r>
        <w:rPr>
          <w:rFonts w:eastAsia="Times New Roman"/>
        </w:rPr>
        <w:t>й организации ПАО «Распадская».</w:t>
      </w:r>
      <w:r>
        <w:rPr>
          <w:rFonts w:eastAsia="Times New Roman"/>
        </w:rPr>
        <w:br/>
        <w:t>4. Утверждение Устава ПАО «Распадская» в новой редакции.</w:t>
      </w:r>
      <w:r>
        <w:rPr>
          <w:rFonts w:eastAsia="Times New Roman"/>
        </w:rPr>
        <w:br/>
        <w:t xml:space="preserve">5. Избрание членов Совета директоров ПАО «Распадская». </w:t>
      </w:r>
    </w:p>
    <w:p w:rsidR="00000000" w:rsidRDefault="0027317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>ь информации, полученной от эмитента.</w:t>
      </w:r>
    </w:p>
    <w:p w:rsidR="00000000" w:rsidRDefault="0027317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3175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3175">
      <w:pPr>
        <w:rPr>
          <w:rFonts w:eastAsia="Times New Roman"/>
        </w:rPr>
      </w:pPr>
      <w:r>
        <w:rPr>
          <w:rFonts w:eastAsia="Times New Roman"/>
        </w:rPr>
        <w:br/>
      </w:r>
    </w:p>
    <w:p w:rsidR="00273175" w:rsidRDefault="00273175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3317"/>
    <w:rsid w:val="00273175"/>
    <w:rsid w:val="00C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0E649-DE7A-4B2E-9A17-3582A231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8be52127b04ffbb48f81c99ab73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2023-04-28T04:07:00Z</dcterms:created>
  <dcterms:modified xsi:type="dcterms:W3CDTF">2023-04-28T04:07:00Z</dcterms:modified>
</cp:coreProperties>
</file>