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071B">
      <w:pPr>
        <w:pStyle w:val="a3"/>
        <w:divId w:val="19333220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332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113906383</w:t>
            </w:r>
          </w:p>
        </w:tc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</w:p>
        </w:tc>
      </w:tr>
      <w:tr w:rsidR="00000000">
        <w:trPr>
          <w:divId w:val="193332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</w:p>
        </w:tc>
      </w:tr>
      <w:tr w:rsidR="00000000">
        <w:trPr>
          <w:divId w:val="193332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113223169</w:t>
            </w:r>
          </w:p>
        </w:tc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</w:p>
        </w:tc>
      </w:tr>
      <w:tr w:rsidR="00000000">
        <w:trPr>
          <w:divId w:val="193332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332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071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4B02-10-36442-R-001P / ISIN RU000A108777)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914254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</w:tbl>
    <w:p w:rsidR="00000000" w:rsidRDefault="005807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807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07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07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8071B">
      <w:pPr>
        <w:rPr>
          <w:rFonts w:eastAsia="Times New Roman"/>
        </w:rPr>
      </w:pPr>
    </w:p>
    <w:p w:rsidR="00000000" w:rsidRDefault="0058071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</w:t>
      </w:r>
      <w:r>
        <w:t xml:space="preserve">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8071B">
      <w:pPr>
        <w:pStyle w:val="a3"/>
      </w:pPr>
      <w:r>
        <w:t>20.10 Информация об определении разме</w:t>
      </w:r>
      <w:r>
        <w:t>ра процента (купона) по облигациям</w:t>
      </w:r>
    </w:p>
    <w:p w:rsidR="00000000" w:rsidRDefault="005807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8071B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8071B">
      <w:pPr>
        <w:rPr>
          <w:rFonts w:eastAsia="Times New Roman"/>
        </w:rPr>
      </w:pPr>
      <w:r>
        <w:rPr>
          <w:rFonts w:eastAsia="Times New Roman"/>
        </w:rPr>
        <w:br/>
      </w:r>
    </w:p>
    <w:p w:rsidR="0058071B" w:rsidRDefault="0058071B">
      <w:pPr>
        <w:pStyle w:val="HTML"/>
      </w:pPr>
      <w:r>
        <w:t>Настоящий документ явля</w:t>
      </w:r>
      <w:r>
        <w:t>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4137"/>
    <w:rsid w:val="0058071B"/>
    <w:rsid w:val="007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DB786D-9FDD-4CD7-B15A-D9C3638E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ac5f334070400f87421f3b60d5b7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2025-09-09T04:23:00Z</dcterms:created>
  <dcterms:modified xsi:type="dcterms:W3CDTF">2025-09-09T04:23:00Z</dcterms:modified>
</cp:coreProperties>
</file>