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122">
      <w:pPr>
        <w:pStyle w:val="a3"/>
        <w:divId w:val="16056475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564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99993975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</w:p>
        </w:tc>
      </w:tr>
      <w:tr w:rsidR="00000000">
        <w:trPr>
          <w:divId w:val="160564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</w:p>
        </w:tc>
      </w:tr>
      <w:tr w:rsidR="00000000">
        <w:trPr>
          <w:divId w:val="160564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564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122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2027 г.</w:t>
            </w:r>
          </w:p>
        </w:tc>
      </w:tr>
    </w:tbl>
    <w:p w:rsidR="00000000" w:rsidRDefault="00785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961431X51306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5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Досрочное погашение производится по цене, равной сумме 100% номинальной стоимости (непогашенной </w:t>
            </w:r>
            <w:r>
              <w:rPr>
                <w:rFonts w:eastAsia="Times New Roman"/>
              </w:rPr>
              <w:t>части номинальной стоимости, если ее часть ранее была уже выплачена) Биржевых облигаций и НКД по ним, рассчитанного на дату досрочного погашения (п. 9.5 Решения о выпуске ценных бумаг БО-03).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марта 2027 г. по 25 марта 2027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Единоличного исполнительного органа – Генерального директора ПАО "ЛК "Европлан" (приказ № 20240916-01 от «16» сентября 2024 года) об </w:t>
            </w:r>
            <w:r>
              <w:rPr>
                <w:rFonts w:eastAsia="Times New Roman"/>
              </w:rPr>
              <w:t>установлении ставки по 11-15 купонам Биржевых облигаций серии БО-03.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785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77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производится по цене, равной сумме 100% номинальной стоимости (непогашенной части номинальной стоимости, если ее часть ранее была уже выплачена) Биржевых облигаций и НКД по ним, рассчитанного на дату досрочного погашения (п. 9.5 Решения</w:t>
            </w:r>
            <w:r>
              <w:rPr>
                <w:rFonts w:eastAsia="Times New Roman"/>
              </w:rPr>
              <w:t xml:space="preserve"> о выпуске ценных бумаг БО-03). </w:t>
            </w:r>
          </w:p>
        </w:tc>
      </w:tr>
    </w:tbl>
    <w:p w:rsidR="00000000" w:rsidRDefault="00785122">
      <w:pPr>
        <w:rPr>
          <w:rFonts w:eastAsia="Times New Roman"/>
        </w:rPr>
      </w:pPr>
    </w:p>
    <w:p w:rsidR="00000000" w:rsidRDefault="007851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</w:t>
      </w:r>
      <w:r>
        <w:t>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85122">
      <w:pPr>
        <w:pStyle w:val="a3"/>
      </w:pPr>
      <w:r>
        <w:t>15.4 Информация о возникновении у владельцев облигаций</w:t>
      </w:r>
      <w:r>
        <w:t xml:space="preserve"> права требовать от эмитента приобретения принадлежащих им облигаций </w:t>
      </w:r>
    </w:p>
    <w:p w:rsidR="00000000" w:rsidRDefault="007851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785122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p w:rsidR="00000000" w:rsidRDefault="00785122">
      <w:pPr>
        <w:rPr>
          <w:rFonts w:eastAsia="Times New Roman"/>
        </w:rPr>
      </w:pPr>
      <w:r>
        <w:rPr>
          <w:rFonts w:eastAsia="Times New Roman"/>
        </w:rPr>
        <w:br/>
      </w:r>
    </w:p>
    <w:p w:rsidR="00785122" w:rsidRDefault="007851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3B56"/>
    <w:rsid w:val="00785122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2B261-CA67-47CA-B02B-0C4B3B3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d6f8c8d0b44479abee9a40ffc58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2024-09-18T10:54:00Z</dcterms:created>
  <dcterms:modified xsi:type="dcterms:W3CDTF">2024-09-18T10:54:00Z</dcterms:modified>
</cp:coreProperties>
</file>