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D4E57">
      <w:pPr>
        <w:pStyle w:val="a3"/>
        <w:divId w:val="1209143562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091435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96701385</w:t>
            </w:r>
          </w:p>
        </w:tc>
        <w:tc>
          <w:tcPr>
            <w:tcW w:w="0" w:type="auto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</w:p>
        </w:tc>
      </w:tr>
      <w:tr w:rsidR="00000000">
        <w:trPr>
          <w:divId w:val="12091435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</w:p>
        </w:tc>
      </w:tr>
      <w:tr w:rsidR="00000000">
        <w:trPr>
          <w:divId w:val="12091435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95589407</w:t>
            </w:r>
          </w:p>
        </w:tc>
        <w:tc>
          <w:tcPr>
            <w:tcW w:w="0" w:type="auto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</w:p>
        </w:tc>
      </w:tr>
      <w:tr w:rsidR="00000000">
        <w:trPr>
          <w:divId w:val="12091435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091435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D4E57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"Северсталь" ИНН 3528000597 (акция 1-02-00143-A / ISIN RU0009046510)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E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E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888715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E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E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E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D4E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D4E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E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E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E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E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E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E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E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E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888715X5995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9D4E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E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E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E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888718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915417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</w:p>
        </w:tc>
      </w:tr>
    </w:tbl>
    <w:p w:rsidR="00000000" w:rsidRDefault="009D4E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D4E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решения:1.1.3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решения:1.1.4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решения:1.1.5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</w:t>
            </w:r>
            <w:r>
              <w:rPr>
                <w:rFonts w:eastAsia="Times New Roman"/>
              </w:rPr>
              <w:t>та решения:1.1.6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решения:1.1.7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решения:1.1.8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решения:1.1.9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решения:1.1.10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закрыта на основании но</w:t>
            </w:r>
            <w:r>
              <w:rPr>
                <w:rFonts w:eastAsia="Times New Roman"/>
              </w:rPr>
              <w:t>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а) Распределить прибыль по результатам 2023 года. Выплатить (объявить) дивиденды по результатам 2023 года в размере 191 рубль 51 копейка на одну обыкновенную именную акцию. Форма выплаты дивидендов: де</w:t>
            </w:r>
            <w:r>
              <w:rPr>
                <w:rFonts w:eastAsia="Times New Roman"/>
              </w:rPr>
              <w:t>нежные средства. Выплата дивидендов в денежной форме осуществляется в безналичном порядке обществом. Предложить 18 июня 2024 года в качестве даты, на которую определяются лица, имеющие право на получение дивидендов по результатам 2023 года. б) Прибыль по р</w:t>
            </w:r>
            <w:r>
              <w:rPr>
                <w:rFonts w:eastAsia="Times New Roman"/>
              </w:rPr>
              <w:t>езультатам 2023 года, не направленную на выплату дивидендов по результатам 2023 года, не распределять.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654894842</w:t>
            </w:r>
            <w:r>
              <w:rPr>
                <w:rFonts w:eastAsia="Times New Roman"/>
              </w:rPr>
              <w:br/>
              <w:t>Против: 648</w:t>
            </w:r>
            <w:r>
              <w:rPr>
                <w:rFonts w:eastAsia="Times New Roman"/>
              </w:rPr>
              <w:br/>
              <w:t>Воздержался: 11671</w:t>
            </w:r>
            <w:r>
              <w:rPr>
                <w:rFonts w:eastAsia="Times New Roman"/>
              </w:rPr>
              <w:br/>
              <w:t>Не участвовало: 12327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</w:t>
            </w:r>
            <w:r>
              <w:rPr>
                <w:rFonts w:eastAsia="Times New Roman"/>
              </w:rPr>
              <w:t>м первого квартала 2024 года в размере 38 рублей 30 копеек на одну обыкновенную именную акцию. Форма выплаты дивидендов: денежные средства. Выплата дивидендов в денежной форме осуществляется в безналичном порядке обществом. Предложить 18 июня 2024 года в к</w:t>
            </w:r>
            <w:r>
              <w:rPr>
                <w:rFonts w:eastAsia="Times New Roman"/>
              </w:rPr>
              <w:t>ачестве даты, на которую определяются лица, имеющие право на получение дивидендов по результатам первого квартала 2024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654893482</w:t>
            </w:r>
            <w:r>
              <w:rPr>
                <w:rFonts w:eastAsia="Times New Roman"/>
              </w:rPr>
              <w:br/>
              <w:t>Против: 1873</w:t>
            </w:r>
            <w:r>
              <w:rPr>
                <w:rFonts w:eastAsia="Times New Roman"/>
              </w:rPr>
              <w:br/>
              <w:t>Воздержался: 11186</w:t>
            </w:r>
            <w:r>
              <w:rPr>
                <w:rFonts w:eastAsia="Times New Roman"/>
              </w:rPr>
              <w:br/>
              <w:t>Не участвовало: 12947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АО «Кэпт» (ОГРН: 1027700125628, ИНН: 7702019950) аудиторской организацией ПАО «Северсталь».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647545001</w:t>
            </w:r>
            <w:r>
              <w:rPr>
                <w:rFonts w:eastAsia="Times New Roman"/>
              </w:rPr>
              <w:br/>
              <w:t>Против: 9940</w:t>
            </w:r>
            <w:r>
              <w:rPr>
                <w:rFonts w:eastAsia="Times New Roman"/>
              </w:rPr>
              <w:br/>
              <w:t>Воздержался: 7346705</w:t>
            </w:r>
            <w:r>
              <w:rPr>
                <w:rFonts w:eastAsia="Times New Roman"/>
              </w:rPr>
              <w:br/>
              <w:t>Не участвовало: 17842</w:t>
            </w:r>
          </w:p>
        </w:tc>
      </w:tr>
    </w:tbl>
    <w:p w:rsidR="00000000" w:rsidRDefault="009D4E57">
      <w:pPr>
        <w:rPr>
          <w:rFonts w:eastAsia="Times New Roman"/>
        </w:rPr>
      </w:pPr>
    </w:p>
    <w:p w:rsidR="00000000" w:rsidRDefault="009D4E57">
      <w:pPr>
        <w:pStyle w:val="a3"/>
      </w:pPr>
      <w:r>
        <w:lastRenderedPageBreak/>
        <w:t>Настоящим сообщаем о получении НКО АО НРД информации, предоставля</w:t>
      </w:r>
      <w:r>
        <w:t xml:space="preserve">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</w:t>
      </w:r>
      <w:r>
        <w:t>а также о требованиях к порядку предоставления центральным депозитарием доступа к такой информации"</w:t>
      </w:r>
    </w:p>
    <w:p w:rsidR="00000000" w:rsidRDefault="009D4E57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9D4E57">
      <w:pPr>
        <w:pStyle w:val="a3"/>
      </w:pPr>
      <w:r>
        <w:t xml:space="preserve">* По вопросам </w:t>
      </w:r>
      <w:r>
        <w:t>1 и 2 повестки дня годового общего собрания акционеров информация не раскрывается и не предоставляется на основании Постановления Правительства РФ от 04.07.2023 N 1102 «Об особенностях раскрытия и (или) предоставления информации, подлежащей раскрытию и (ил</w:t>
      </w:r>
      <w:r>
        <w:t>и) предоставлению в соответствии с требованиями Федерального закона «Об акционерных обществах» и Федерального закона «О рынке ценных бумаг».</w:t>
      </w:r>
      <w:r>
        <w:br/>
      </w:r>
      <w:r>
        <w:br/>
        <w:t>Решения по вопросам 1 и 2 повестки дня годового общего собрания акционеров содержатся в файле "Отчет об итогах.pdf</w:t>
      </w:r>
      <w:r>
        <w:t>".</w:t>
      </w:r>
    </w:p>
    <w:p w:rsidR="00000000" w:rsidRDefault="009D4E57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</w:t>
      </w:r>
      <w:r>
        <w:t>етьих лиц.</w:t>
      </w:r>
    </w:p>
    <w:p w:rsidR="00000000" w:rsidRDefault="009D4E5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D4E5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D4E57">
      <w:pPr>
        <w:rPr>
          <w:rFonts w:eastAsia="Times New Roman"/>
        </w:rPr>
      </w:pPr>
      <w:r>
        <w:rPr>
          <w:rFonts w:eastAsia="Times New Roman"/>
        </w:rPr>
        <w:br/>
      </w:r>
    </w:p>
    <w:p w:rsidR="009D4E57" w:rsidRDefault="009D4E57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D4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F6A93"/>
    <w:rsid w:val="006F6A93"/>
    <w:rsid w:val="009D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C16D8B-F1C7-420B-9B3B-DEF5383C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14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987f5961d70459190767814ba5baa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2024-06-11T08:17:00Z</dcterms:created>
  <dcterms:modified xsi:type="dcterms:W3CDTF">2024-06-11T08:17:00Z</dcterms:modified>
</cp:coreProperties>
</file>