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223C">
      <w:pPr>
        <w:pStyle w:val="a3"/>
        <w:divId w:val="2024452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36063664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</w:p>
        </w:tc>
      </w:tr>
      <w:tr w:rsidR="00000000">
        <w:trPr>
          <w:divId w:val="20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</w:p>
        </w:tc>
      </w:tr>
      <w:tr w:rsidR="00000000">
        <w:trPr>
          <w:divId w:val="20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36056815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</w:p>
        </w:tc>
      </w:tr>
      <w:tr w:rsidR="00000000">
        <w:trPr>
          <w:divId w:val="20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44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22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2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</w:t>
            </w:r>
            <w:r>
              <w:rPr>
                <w:rFonts w:eastAsia="Times New Roman"/>
              </w:rPr>
              <w:t>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22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</w:tbl>
    <w:p w:rsidR="00000000" w:rsidRDefault="000222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6523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22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по результатам полугодия 2019 года (направив 10 199 029 314,80 руб. на выплату дивидендов по обыкновенным акциям) в размере 884,60 руб. на одну обыкновенную акцию в денежной форме в порядке и способом, указанным в</w:t>
            </w:r>
            <w:r>
              <w:rPr>
                <w:rFonts w:eastAsia="Times New Roman"/>
              </w:rPr>
              <w:t xml:space="preserve"> реестре акционеров. </w:t>
            </w:r>
            <w:r>
              <w:rPr>
                <w:rFonts w:eastAsia="Times New Roman"/>
              </w:rPr>
              <w:lastRenderedPageBreak/>
              <w:t>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перечисления денежных средств на их банковские счета, реквизиты которых и</w:t>
            </w:r>
            <w:r>
              <w:rPr>
                <w:rFonts w:eastAsia="Times New Roman"/>
              </w:rPr>
              <w:t>меются у регистратора ПАО «Корпорация ВСМПО-АВИСМА», либо при отсутствии сведений о банковских счетах путем почтового перевода денежных средств; иным лицам, права которых на акции учитываются в реестре акционеров ПАО «Корпорация ВСМПО-АВИСМА», путем перечи</w:t>
            </w:r>
            <w:r>
              <w:rPr>
                <w:rFonts w:eastAsia="Times New Roman"/>
              </w:rPr>
              <w:t xml:space="preserve">сления денежных средств на их банковские счета; лицам,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установленном законодательством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10715978</w:t>
            </w:r>
            <w:r>
              <w:rPr>
                <w:rFonts w:eastAsia="Times New Roman"/>
              </w:rPr>
              <w:br/>
              <w:t>Против: 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55</w:t>
            </w:r>
          </w:p>
        </w:tc>
      </w:tr>
    </w:tbl>
    <w:p w:rsidR="00000000" w:rsidRDefault="0002223C">
      <w:pPr>
        <w:rPr>
          <w:rFonts w:eastAsia="Times New Roman"/>
        </w:rPr>
      </w:pPr>
    </w:p>
    <w:p w:rsidR="00000000" w:rsidRDefault="0002223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223C">
      <w:pPr>
        <w:pStyle w:val="a3"/>
      </w:pPr>
      <w:r>
        <w:t>4.10. Информация о решениях, принятых о</w:t>
      </w:r>
      <w:r>
        <w:t>бщим собранием акционеров, а также об итогах голосования на общем собрании акционеров.</w:t>
      </w:r>
    </w:p>
    <w:p w:rsidR="00000000" w:rsidRDefault="0002223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22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223C" w:rsidRDefault="0002223C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2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164B"/>
    <w:rsid w:val="0002223C"/>
    <w:rsid w:val="007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8BE06-5CD0-404F-A1F2-487341DF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93ca4c66446a989d10ecccdf62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2019-10-03T10:54:00Z</dcterms:created>
  <dcterms:modified xsi:type="dcterms:W3CDTF">2019-10-03T10:54:00Z</dcterms:modified>
</cp:coreProperties>
</file>