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768">
      <w:pPr>
        <w:pStyle w:val="a3"/>
        <w:divId w:val="17418294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182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65527677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</w:p>
        </w:tc>
      </w:tr>
      <w:tr w:rsidR="00000000">
        <w:trPr>
          <w:divId w:val="174182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</w:p>
        </w:tc>
      </w:tr>
      <w:tr w:rsidR="00000000">
        <w:trPr>
          <w:divId w:val="174182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82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76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3C376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694906X8211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C3768">
      <w:pPr>
        <w:rPr>
          <w:rFonts w:eastAsia="Times New Roman"/>
        </w:rPr>
      </w:pPr>
    </w:p>
    <w:p w:rsidR="00000000" w:rsidRDefault="003C3768">
      <w:pPr>
        <w:pStyle w:val="a3"/>
      </w:pPr>
      <w:r>
        <w:t>Сообщаем, что в соответствии со статьей 17 Федерального закона от 08.03.2022 № 46-ФЗ «О внесении изменений в отдельные законодательные акты Российской Федерации» заочным голосованием членов Совета директоров ПАО «ГМК «Норильский никель» 22 апреля 2022 года</w:t>
      </w:r>
      <w:r>
        <w:t xml:space="preserve"> была определена дата, до которой от акционеров будут приниматься предложения о внесении вопросов в повестку дня годового Общего собрания акционеров Компании и предложения о выдвижении кандидатов для избрания в Совет директоров и Ревизионную комиссию Компа</w:t>
      </w:r>
      <w:r>
        <w:t xml:space="preserve">нии. Такие предложения принимаются до 28 апреля 2022 года. </w:t>
      </w:r>
    </w:p>
    <w:p w:rsidR="00000000" w:rsidRDefault="003C37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3C376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C3768">
      <w:pPr>
        <w:rPr>
          <w:rFonts w:eastAsia="Times New Roman"/>
        </w:rPr>
      </w:pPr>
      <w:r>
        <w:rPr>
          <w:rFonts w:eastAsia="Times New Roman"/>
        </w:rPr>
        <w:br/>
      </w:r>
    </w:p>
    <w:p w:rsidR="003C3768" w:rsidRDefault="003C37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A63"/>
    <w:rsid w:val="003C3768"/>
    <w:rsid w:val="004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050AF-362D-4527-B8E1-D58B7C5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e5ac46b75d4fe7bc4ceb56d59f3f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2022-04-26T06:07:00Z</dcterms:created>
  <dcterms:modified xsi:type="dcterms:W3CDTF">2022-04-26T06:07:00Z</dcterms:modified>
</cp:coreProperties>
</file>