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0FC8">
      <w:pPr>
        <w:pStyle w:val="a3"/>
        <w:divId w:val="112716669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27166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23759754</w:t>
            </w:r>
          </w:p>
        </w:tc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</w:tr>
      <w:tr w:rsidR="00000000">
        <w:trPr>
          <w:divId w:val="1127166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</w:tr>
      <w:tr w:rsidR="00000000">
        <w:trPr>
          <w:divId w:val="1127166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23346991</w:t>
            </w:r>
          </w:p>
        </w:tc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</w:tr>
      <w:tr w:rsidR="00000000">
        <w:trPr>
          <w:divId w:val="1127166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7166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0FC8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"БАНК УРАЛСИБ" ИНН 0274062111 (акции 10200030B/RU0006929536, 10200030B/RU0006929536, 10200030B007D/RU000A0JXNN3, 10200030B008D</w:t>
      </w:r>
      <w:r>
        <w:rPr>
          <w:rFonts w:eastAsia="Times New Roman"/>
        </w:rPr>
        <w:t xml:space="preserve">/RU000A0JXNP8, 10200030B009D/RU000A0JXNQ6, 10200030B010D/RU000A0JXNR4, 10200030B011D/RU000A0JXNS2)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0"/>
        <w:gridCol w:w="61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«Сергиев Посад».</w:t>
            </w:r>
          </w:p>
        </w:tc>
      </w:tr>
    </w:tbl>
    <w:p w:rsidR="00000000" w:rsidRDefault="00AA0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4"/>
        <w:gridCol w:w="832"/>
        <w:gridCol w:w="1155"/>
        <w:gridCol w:w="1155"/>
        <w:gridCol w:w="960"/>
        <w:gridCol w:w="1090"/>
        <w:gridCol w:w="1090"/>
        <w:gridCol w:w="1251"/>
        <w:gridCol w:w="89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10200030B010D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10200030B011D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</w:tr>
    </w:tbl>
    <w:p w:rsidR="00000000" w:rsidRDefault="00AA0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4"/>
        <w:gridCol w:w="6468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0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«БАНК УРАЛСИБ» за 2016 финансовый год (приложение №1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«БАНК УРАЛСИБ» за 2016 год (приложение №2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по результатам 2016 года чистую прибыль ПАО «БАНК УРАЛСИБ</w:t>
            </w:r>
            <w:r>
              <w:rPr>
                <w:rFonts w:eastAsia="Times New Roman"/>
              </w:rPr>
              <w:t xml:space="preserve">» в размере 5 056 486 002 руб. 39 коп. (пять миллиардов пятьдесят шесть миллионов четыреста восемьдесят шесть тысяч два рубля тридцать девять копеек) распределить следующим образом: - 22 368 002 руб. 80 коп. (двадцать два миллиона триста шестьдесят восемь </w:t>
            </w:r>
            <w:r>
              <w:rPr>
                <w:rFonts w:eastAsia="Times New Roman"/>
              </w:rPr>
              <w:t>тысяч два рубля восемьдесят копеек) направить на погашение убытков прошлых лет ПАО «БАНК УРАЛСИБ» с отражением в учете по счету 10901 «Непокрытый убыток»; - 1 668 568 634 руб. 27 коп. (один миллиард шестьсот шестьдесят восемь миллионов пятьсот шестьдесят в</w:t>
            </w:r>
            <w:r>
              <w:rPr>
                <w:rFonts w:eastAsia="Times New Roman"/>
              </w:rPr>
              <w:t>осемь тысяч шестьсот тридцать четыре рубля двадцать семь копеек) направить на формирование резервного фонда ПАО «БАНК УРАЛСИБ» с отражением в учете по счету 10701 «Резервный фонд»; - 3 365 549 365 руб. 33 коп. (три миллиарда триста шестьдесят пять миллионо</w:t>
            </w:r>
            <w:r>
              <w:rPr>
                <w:rFonts w:eastAsia="Times New Roman"/>
              </w:rPr>
              <w:t xml:space="preserve">в пятьсот сорок девять тысяч триста шестьдесят пять рублей тридцать три копейки) оставить в распоряжении ПАО «БАНК УРАЛСИБ» с отражением в учете по счету 10801 «Нераспределенная прибыл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итогам 2016 </w:t>
            </w:r>
            <w:r>
              <w:rPr>
                <w:rFonts w:eastAsia="Times New Roman"/>
              </w:rPr>
              <w:t>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354289220067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354289838263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354288990737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354289153075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354310136048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354289106740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354289069803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354305335671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Председателю Правления ПАО «БАНК УРАЛСИБ» Боброву К.А., а в случае его отсутствия Заместителю Председателя Правления </w:t>
            </w:r>
            <w:r>
              <w:rPr>
                <w:rFonts w:eastAsia="Times New Roman"/>
              </w:rPr>
              <w:t xml:space="preserve">Сазонову А.В., право подписания уведомлений и всех необходимых документов, представляемых в Банк России в связи с избранием членов Наблюдательного совета ПАО «БАНК УРАЛСИБ».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</w:t>
            </w:r>
            <w:r>
              <w:rPr>
                <w:rFonts w:eastAsia="Times New Roman"/>
              </w:rPr>
              <w:t>БАНК УРАЛСИБ» следующих лиц: - Горяинов Олег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18807620451</w:t>
            </w:r>
            <w:r>
              <w:rPr>
                <w:rFonts w:eastAsia="Times New Roman"/>
              </w:rPr>
              <w:br/>
              <w:t>Против: 6</w:t>
            </w:r>
            <w:r>
              <w:rPr>
                <w:rFonts w:eastAsia="Times New Roman"/>
              </w:rPr>
              <w:br/>
              <w:t>Воздержался: 11824557</w:t>
            </w:r>
            <w:r>
              <w:rPr>
                <w:rFonts w:eastAsia="Times New Roman"/>
              </w:rPr>
              <w:br/>
              <w:t>Не участвовало: 8983131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18807477969</w:t>
            </w:r>
            <w:r>
              <w:rPr>
                <w:rFonts w:eastAsia="Times New Roman"/>
              </w:rPr>
              <w:br/>
              <w:t>Против: 500003</w:t>
            </w:r>
            <w:r>
              <w:rPr>
                <w:rFonts w:eastAsia="Times New Roman"/>
              </w:rPr>
              <w:br/>
              <w:t>Воздержался: 11770222</w:t>
            </w:r>
            <w:r>
              <w:rPr>
                <w:rFonts w:eastAsia="Times New Roman"/>
              </w:rPr>
              <w:br/>
              <w:t>Не участвовало: 8679951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</w:t>
            </w:r>
            <w:r>
              <w:rPr>
                <w:rFonts w:eastAsia="Times New Roman"/>
              </w:rPr>
              <w:t xml:space="preserve"> «БАНК УРАЛСИБ» следующих лиц: - Нечаева Галина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18808575708</w:t>
            </w:r>
            <w:r>
              <w:rPr>
                <w:rFonts w:eastAsia="Times New Roman"/>
              </w:rPr>
              <w:br/>
              <w:t>Против: 525903</w:t>
            </w:r>
            <w:r>
              <w:rPr>
                <w:rFonts w:eastAsia="Times New Roman"/>
              </w:rPr>
              <w:br/>
              <w:t>Воздержался: 11719554</w:t>
            </w:r>
            <w:r>
              <w:rPr>
                <w:rFonts w:eastAsia="Times New Roman"/>
              </w:rPr>
              <w:br/>
              <w:t>Не участвовало: 7606980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«БАНК УРАЛСИБ» Акционерное общество «КПМГ» (ОГРН 1027700125628, является с 28.12.2009 г. членом Саморегулируемой организации аудиторов «Аудиторская палата России» (Ассоциация), включенной в Государственный реестр саморегулируемых ор</w:t>
            </w:r>
            <w:r>
              <w:rPr>
                <w:rFonts w:eastAsia="Times New Roman"/>
              </w:rPr>
              <w:t xml:space="preserve">ганизаций аудиторов на основании приказа Минфина России от 01.10.2009 № 455).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AA0FC8">
      <w:pPr>
        <w:rPr>
          <w:rFonts w:eastAsia="Times New Roman"/>
        </w:rPr>
      </w:pPr>
    </w:p>
    <w:p w:rsidR="00000000" w:rsidRDefault="00AA0FC8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</w:t>
      </w:r>
      <w:r>
        <w:t xml:space="preserve">участие в общем собрании акционеров (Положение 546-П от 01.06.2016). </w:t>
      </w:r>
    </w:p>
    <w:p w:rsidR="00000000" w:rsidRDefault="00AA0FC8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AA0FC8">
      <w:pPr>
        <w:pStyle w:val="a3"/>
      </w:pPr>
      <w:r>
        <w:t xml:space="preserve">Направляем Вам поступившие </w:t>
      </w:r>
      <w:r>
        <w:t>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</w:t>
      </w:r>
      <w:r>
        <w:t xml:space="preserve">НРД не отвечает за полноту и достоверность информации, полученной от эмитента. </w:t>
      </w:r>
    </w:p>
    <w:p w:rsidR="00000000" w:rsidRDefault="00AA0F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AA0FC8" w:rsidRDefault="00AA0F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</w:t>
      </w:r>
      <w:r>
        <w:t>90, (495) 956-27-91</w:t>
      </w:r>
    </w:p>
    <w:sectPr w:rsidR="00A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66828"/>
    <w:rsid w:val="00766828"/>
    <w:rsid w:val="00AA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b18acd72e4457bbec4f075d82db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2017-07-05T05:10:00Z</dcterms:created>
  <dcterms:modified xsi:type="dcterms:W3CDTF">2017-07-05T05:10:00Z</dcterms:modified>
</cp:coreProperties>
</file>