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065">
      <w:pPr>
        <w:pStyle w:val="a3"/>
        <w:divId w:val="35851246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8512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28427047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</w:tr>
      <w:tr w:rsidR="00000000">
        <w:trPr>
          <w:divId w:val="358512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</w:tr>
      <w:tr w:rsidR="00000000">
        <w:trPr>
          <w:divId w:val="358512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27946421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</w:tr>
      <w:tr w:rsidR="00000000">
        <w:trPr>
          <w:divId w:val="358512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8512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30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B53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B53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</w:tbl>
    <w:p w:rsidR="00000000" w:rsidRDefault="00B530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530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2017 года, предложенное Советом директоров ПАО «Акрон». Выплатить (объявить) дивиденды по результатам 2017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261515386</w:t>
            </w:r>
            <w:r>
              <w:rPr>
                <w:rFonts w:eastAsia="Times New Roman"/>
              </w:rPr>
              <w:br/>
              <w:t>Не участвовало: 116201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43530705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37156968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34721668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34727168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37248726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36840217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37259021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31 мая 2018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Остальным членам Совета директоров ПАО «Акрон» вознаграждение не выплачивать.Производить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37170652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205289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- </w:t>
            </w:r>
            <w:r>
              <w:rPr>
                <w:rFonts w:eastAsia="Times New Roman"/>
              </w:rPr>
              <w:t>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«Кроу Русаудит» (ОГРН 1037700117949); - для подтверждения финанс</w:t>
            </w:r>
            <w:r>
              <w:rPr>
                <w:rFonts w:eastAsia="Times New Roman"/>
              </w:rPr>
              <w:t xml:space="preserve">овой отчетности, составленной в 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37337166</w:t>
            </w:r>
            <w:r>
              <w:rPr>
                <w:rFonts w:eastAsia="Times New Roman"/>
              </w:rPr>
              <w:br/>
              <w:t>Воздержался: 33275</w:t>
            </w:r>
            <w:r>
              <w:rPr>
                <w:rFonts w:eastAsia="Times New Roman"/>
              </w:rPr>
              <w:br/>
              <w:t>Не участвовало: 5500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37130181</w:t>
            </w:r>
            <w:r>
              <w:rPr>
                <w:rFonts w:eastAsia="Times New Roman"/>
              </w:rPr>
              <w:br/>
              <w:t>Против: 172014</w:t>
            </w:r>
            <w:r>
              <w:rPr>
                <w:rFonts w:eastAsia="Times New Roman"/>
              </w:rPr>
              <w:br/>
              <w:t>Воздержался: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«Саморегулируема</w:t>
            </w:r>
            <w:r>
              <w:rPr>
                <w:rFonts w:eastAsia="Times New Roman"/>
              </w:rPr>
              <w:t xml:space="preserve">я организация строителей Новгородской области «Стройбизнесинвест» (ОГРН 1095300000102).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Публичному акционерному обществу «Акрон» принять участие в Ассоциации Саморегулируемой организации «Гильдия проектировщиков Новгородской области» (ОГРН 1095300000036).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акционерному обществу «Акрон» принять участие в Ассоциации инженеров - изыскателей «СтройИзыскания» (ОГРН 1117800012395).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0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37188126</w:t>
            </w:r>
            <w:r>
              <w:rPr>
                <w:rFonts w:eastAsia="Times New Roman"/>
              </w:rPr>
              <w:br/>
              <w:t>Воздержался: 177814</w:t>
            </w:r>
            <w:r>
              <w:rPr>
                <w:rFonts w:eastAsia="Times New Roman"/>
              </w:rPr>
              <w:br/>
              <w:t>Не участвовало: 10001</w:t>
            </w:r>
          </w:p>
        </w:tc>
      </w:tr>
    </w:tbl>
    <w:p w:rsidR="00000000" w:rsidRDefault="00B53065">
      <w:pPr>
        <w:rPr>
          <w:rFonts w:eastAsia="Times New Roman"/>
        </w:rPr>
      </w:pPr>
    </w:p>
    <w:p w:rsidR="00000000" w:rsidRDefault="00B53065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 xml:space="preserve">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306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</w:t>
      </w:r>
      <w:r>
        <w:t>и акционеров.</w:t>
      </w:r>
    </w:p>
    <w:p w:rsidR="00000000" w:rsidRDefault="00B5306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</w:t>
      </w:r>
      <w:r>
        <w:t xml:space="preserve">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530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B53065" w:rsidRDefault="00B530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5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0CEF"/>
    <w:rsid w:val="00550CEF"/>
    <w:rsid w:val="00B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386fba3f704ac085e5877d73e34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2018-06-04T11:21:00Z</dcterms:created>
  <dcterms:modified xsi:type="dcterms:W3CDTF">2018-06-04T11:21:00Z</dcterms:modified>
</cp:coreProperties>
</file>