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0DA5">
      <w:pPr>
        <w:pStyle w:val="a3"/>
        <w:divId w:val="1618104444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18104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20712727</w:t>
            </w:r>
          </w:p>
        </w:tc>
        <w:tc>
          <w:tcPr>
            <w:tcW w:w="0" w:type="auto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</w:tr>
      <w:tr w:rsidR="00000000">
        <w:trPr>
          <w:divId w:val="1618104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</w:tr>
      <w:tr w:rsidR="00000000">
        <w:trPr>
          <w:divId w:val="1618104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20415744</w:t>
            </w:r>
          </w:p>
        </w:tc>
        <w:tc>
          <w:tcPr>
            <w:tcW w:w="0" w:type="auto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</w:tr>
      <w:tr w:rsidR="00000000">
        <w:trPr>
          <w:divId w:val="1618104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181044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00DA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"ЧМК" ИНН 7450001007 (акция 1-01-00080-A/RU0007665170)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12"/>
        <w:gridCol w:w="60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0D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250334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2016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сентября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Челябинск, ул. 2-ая Павелецкая, д. 4, Учебный центр ПАО «ЧМК»</w:t>
            </w:r>
          </w:p>
        </w:tc>
      </w:tr>
    </w:tbl>
    <w:p w:rsidR="00000000" w:rsidRDefault="00500D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00D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D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D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D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D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D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D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D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0D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250334X8922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500D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00D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 общества "Челябинский металлургический комбинат"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324</w:t>
            </w:r>
            <w:r>
              <w:rPr>
                <w:rFonts w:eastAsia="Times New Roman"/>
              </w:rPr>
              <w:br/>
              <w:t>Против: 2331055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Прекратить досрочно полномочия Совета директоров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2331379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Леваду Антона Григорьевича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2332381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Зюзина Игоря Владимировича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2331212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Щетинина Анатолия Петровича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2331212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Трубкину Наталью Олеговну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2331212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Усачева Валерия Владимировича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2331212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Жилкина Игоря Евгеньевича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2331212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Пономарева Андрея Александровича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2331212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Одобрить сделку, </w:t>
            </w:r>
            <w:r>
              <w:rPr>
                <w:rFonts w:eastAsia="Times New Roman"/>
              </w:rPr>
              <w:t>в совершении которой имеется заинтересованность - Договор поручительства (далее – «Договор»), в соответствии с которым Публичное акционерное общество «Челябинский металлургический комбинат» (Поручитель) обязывается солидарно с Открытым акционерным общество</w:t>
            </w:r>
            <w:r>
              <w:rPr>
                <w:rFonts w:eastAsia="Times New Roman"/>
              </w:rPr>
              <w:t>м холдинговая компания «Якутуголь» (Должник или Заемщик), отвечать перед «Газпромбанк» (Акционерное общество) (Банк, Кредитор) за исполнение Должником его обязательств перед Кредитором, возникших из Договора об открытии кредитной линии № 31/09-В от 06 февр</w:t>
            </w:r>
            <w:r>
              <w:rPr>
                <w:rFonts w:eastAsia="Times New Roman"/>
              </w:rPr>
              <w:t xml:space="preserve">аля 2009 года, с учетом изменений, внесенных Дополнительным соглашением №1 от 24 февраля 2010 года, Дополнительным соглашением №2 от 31 декабря 2010 года, Дополнительным соглашением №3 от 29 июля 2011 года, Дополнительным соглашением №4 от 25 октября 2011 </w:t>
            </w:r>
            <w:r>
              <w:rPr>
                <w:rFonts w:eastAsia="Times New Roman"/>
              </w:rPr>
              <w:t xml:space="preserve">года, Дополнительным соглашением №5 от 14 февраля 2012 года, Дополнительным соглашением №6 от 28 июня 2012 года, Дополнительным соглашением №7 от 18 июня 2013 года, а также с учетом изменений, внесенных Дополнительным соглашением №8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1.2. Одобрить сделку, в совершении которой имеется заинтересованность - Договор поручительства (далее – «Договор»), в соответствии с которым Публичное акционерное общество «</w:t>
            </w:r>
            <w:r>
              <w:rPr>
                <w:rFonts w:eastAsia="Times New Roman"/>
              </w:rPr>
              <w:t xml:space="preserve">Челябинский металлургический комбинат» (Поручитель) обязывается солидарно с Открытым акционерным обществом холдинговая компания «Якутуголь» (Должник или Заемщик), отвечать перед «Газпромбанк» (Акционерное общество) (Банк, Кредитор) за исполнение Должником </w:t>
            </w:r>
            <w:r>
              <w:rPr>
                <w:rFonts w:eastAsia="Times New Roman"/>
              </w:rPr>
              <w:t>его обязательств перед Кредитором, возникших из Кредитного соглашения об открытии кредитной линии № 226/12-В от 27 апреля 2012 года, с учетом изменений, внесенных Дополнительным соглашением №1 от 18 июня 2013 года, а также с учетом изменений, предусмотренн</w:t>
            </w:r>
            <w:r>
              <w:rPr>
                <w:rFonts w:eastAsia="Times New Roman"/>
              </w:rPr>
              <w:t>ых Дополнительным соглашением №2 от 20 августа 2015 года («Кредитное соглашение»), заключенного между Кредитором и Должником, в соответствии с которым Банк обязуется предоставить Должнику Кредит в форме Кредитной линии (совокупности Траншей Кредита, предос</w:t>
            </w:r>
            <w:r>
              <w:rPr>
                <w:rFonts w:eastAsia="Times New Roman"/>
              </w:rPr>
              <w:t xml:space="preserve">тавляемых Кредитором Должнику) в размере и на условиях, указанных в Кредитном сог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1.3. Одобрить сделку, в совершении которой имеется заинтересованность </w:t>
            </w:r>
            <w:r>
              <w:rPr>
                <w:rFonts w:eastAsia="Times New Roman"/>
              </w:rPr>
              <w:t xml:space="preserve">- Договор поручительства (далее – «Договор»), в соответствии с которым Публичное акционерное общество «Челябинский металлургический комбинат» (Поручитель) обязывается солидарно с Открытым акционерным обществом холдинговая компания «Якутуголь» (Должник или </w:t>
            </w:r>
            <w:r>
              <w:rPr>
                <w:rFonts w:eastAsia="Times New Roman"/>
              </w:rPr>
              <w:t>Заемщик), отвечать перед «Газпромбанк» (Акционерное общество) (Банк, Кредитор) за исполнение Должником его обязательств перед Кредитором, возникших из Кредитного соглашения об открытии кредитной линии №85/13-В от 26 апреля 2013 года, с учетом изменений, вн</w:t>
            </w:r>
            <w:r>
              <w:rPr>
                <w:rFonts w:eastAsia="Times New Roman"/>
              </w:rPr>
              <w:t>есенных Дополнительным соглашением №1 от 28 августа 2015 года («Кредитное соглашение»), заключенного между Кредитором и Должником, в соответствии с которым Кредитор обязуется открыть Должнику Кредитную линию в размере и на условиях, указанных в Кредитном С</w:t>
            </w:r>
            <w:r>
              <w:rPr>
                <w:rFonts w:eastAsia="Times New Roman"/>
              </w:rPr>
              <w:t xml:space="preserve">оглашении, а Должник обязуется возвратить Кредит, полученный по Кредитной линии, уплатить проценты и выполнить иные обязательства, предусмотренные Кредитным Соглашением.. По Договор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1.4. Одобрить сделку, в совершении которой имеется заинтересованность - Договор поручительства (далее – «Договор»), в соответствии с которым Публичное акционерное общество «Челябинский металлургический комбинат» (Поручитель) об</w:t>
            </w:r>
            <w:r>
              <w:rPr>
                <w:rFonts w:eastAsia="Times New Roman"/>
              </w:rPr>
              <w:t>язывается солидарно с Открытым акционерным обществом «Угольная компания «Южный Кузбасс», (Должник или Заемщик) отвечать перед «Газпромбанк» (Акционерное общество) (Банк, Кредитор) за исполнение Должником его обязательств перед Кредитором, возникших из Кред</w:t>
            </w:r>
            <w:r>
              <w:rPr>
                <w:rFonts w:eastAsia="Times New Roman"/>
              </w:rPr>
              <w:t>итного соглашения об открытии кредитной линии № 227/12-В от 27 апреля 2012 года, с учетом изменений, внесенных Дополнительным соглашением №1 от 18 июня 2013 года, а также с учетом изменений, внесенных Дополнительным соглашением №2 от 20 августа 2015 года (</w:t>
            </w:r>
            <w:r>
              <w:rPr>
                <w:rFonts w:eastAsia="Times New Roman"/>
              </w:rPr>
              <w:t>«Кредитное соглашение»), заключенного между Кредитором и Должником, в соответствии с которым Кредитор обязуется открыть Должнику Кредитную линию в размере и на условиях, указанных в Кредитном соглашении, а Должник обязуется возвратить Кредит, полученный по</w:t>
            </w:r>
            <w:r>
              <w:rPr>
                <w:rFonts w:eastAsia="Times New Roman"/>
              </w:rPr>
              <w:t xml:space="preserve"> Кредитной линии, уплатить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1.5. Одобрить сделку, в совершении которой имеется заинтересованность </w:t>
            </w:r>
            <w:r>
              <w:rPr>
                <w:rFonts w:eastAsia="Times New Roman"/>
              </w:rPr>
              <w:t>- Договор поручительства (далее – «Договор»), в соответствии с которым Публичное акционерное общество «Челябинский металлургический комбинат» (Поручитель) обязывается солидарно с Открытым акционерным обществом «Угольная компания «Южный Кузбасс» (Должник ил</w:t>
            </w:r>
            <w:r>
              <w:rPr>
                <w:rFonts w:eastAsia="Times New Roman"/>
              </w:rPr>
              <w:t xml:space="preserve">и Заемщик) отвечать перед «Газпромбанк» (Акционерное общество) (Банк, Кредитор) за исполнение Должником его обязательств перед Кредитором, возникших из Кредитного соглашения об открытии кредитной линии № 84/13-В от 26 апреля 2013 года, с учетом изменений, </w:t>
            </w:r>
            <w:r>
              <w:rPr>
                <w:rFonts w:eastAsia="Times New Roman"/>
              </w:rPr>
              <w:t>внесенных Дополнительным соглашением №1 от 28 августа 2015 года («Кредитное соглашение»), заключенного между Кредитором и Должником, в соответствии с которым Кредитор обязуется открыть Должнику Кредитную линию в размере и на условиях, указанных в Кредитном</w:t>
            </w:r>
            <w:r>
              <w:rPr>
                <w:rFonts w:eastAsia="Times New Roman"/>
              </w:rPr>
              <w:t xml:space="preserve"> соглашении, а Должник обязуется возвратить Кредит, полученный по Кредитной линии, уплатить проценты и выполнить иные обязательства, предусмотренные Кредитным соглашением. По Догов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1.6. Одобрить сделку, в совершении которой имеется заинтересованность - Договор поручительства (далее – «Договор»), в соответствии </w:t>
            </w:r>
            <w:r>
              <w:rPr>
                <w:rFonts w:eastAsia="Times New Roman"/>
              </w:rPr>
              <w:t>с которым Публичное акционерное общество «Челябинский металлургический комбинат» (Поручитель) обязывается солидарно с Открытым акционерным обществом «Угольная компания «Южный Кузбасс» (Должник) отвечать перед «Газпромбанк» (Акционерное общество) (Банк, Кре</w:t>
            </w:r>
            <w:r>
              <w:rPr>
                <w:rFonts w:eastAsia="Times New Roman"/>
              </w:rPr>
              <w:t>дитор) за исполнение Должником его обязательств перед Кредитором по погашению (возврату) Доли основного долга и процентов, начисленных по Кредитному соглашению об открытии кредитной линии №2612-195-К от 3 мая 2012 года, с учетом изменений, внесенных Дополн</w:t>
            </w:r>
            <w:r>
              <w:rPr>
                <w:rFonts w:eastAsia="Times New Roman"/>
              </w:rPr>
              <w:t xml:space="preserve">ительным соглашением б/н от 9 ноября 2012 года и Дополнительным соглашением б/н от 23 апреля 2013 года заключенного между Кредитором и Должником и переведенных в соответствии с Договором о переводе долга, заключенного между Кредитором, ОАО «Южный Кузбасс» </w:t>
            </w:r>
            <w:r>
              <w:rPr>
                <w:rFonts w:eastAsia="Times New Roman"/>
              </w:rPr>
              <w:t xml:space="preserve">и ООО «Мечел-Сервис» («Договор о переводе долга»), а так же за исполнение Должником его обязательств перед Кредитором по Кре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1.7. Одобрить сделку, в сове</w:t>
            </w:r>
            <w:r>
              <w:rPr>
                <w:rFonts w:eastAsia="Times New Roman"/>
              </w:rPr>
              <w:t>ршении которой имеется заинтересованность - Договор поручительства (далее – «Договор»), в соответствии с которым Публичное акционерное общество «Челябинский металлургический комбинат» (Поручитель) обязывается солидарно с Открытым акционерным обществом «Уго</w:t>
            </w:r>
            <w:r>
              <w:rPr>
                <w:rFonts w:eastAsia="Times New Roman"/>
              </w:rPr>
              <w:t>льная компания «Южный Кузбасс(Должник), отвечать перед «Газпромбанк» (Акционерное общество) (Банк, Кредитор) за исполнение Должником его обязательств перед Кредитором по погашению (возврату) Доли основного долга и процентов, начисленных по Кредитному согла</w:t>
            </w:r>
            <w:r>
              <w:rPr>
                <w:rFonts w:eastAsia="Times New Roman"/>
              </w:rPr>
              <w:t>шению об открытии кредитной линии №2612-196-К от 4 мая 2012 года, с учетом изменений, внесенных Дополнительным соглашением б/н от 23 апреля 2013 года, заключенного между Кредитором и Должником и переведенных в соответствии с Договором о переводе долга, зак</w:t>
            </w:r>
            <w:r>
              <w:rPr>
                <w:rFonts w:eastAsia="Times New Roman"/>
              </w:rPr>
              <w:t xml:space="preserve">люченного между Кредитором, ООО «МЕЧЕЛ-ЭНЕРГО» и ОАО «Южный Кузбасс» (далее «Договор о переводе долга»), а так же за исполнение Должником его обязательств перед Кредитором по Кредитному соглашению об открытии кредитной линии №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1.8. Одобрить сделку, в совершении которой имеется заинтересованность - Договор поручительства (далее – «Договор»), в соответствии с которым Публичное акционерное общество «Челябинс</w:t>
            </w:r>
            <w:r>
              <w:rPr>
                <w:rFonts w:eastAsia="Times New Roman"/>
              </w:rPr>
              <w:t>кий металлургический комбинат» (Поручитель) обязывается солидарно с Открытым акционерным обществом «Белорецкий металлургический комбинат», (Должник или Заемщик), отвечать перед «Газпромбанк» (Акционерное общество) (Банк, Кредитор) за исполнение Должником е</w:t>
            </w:r>
            <w:r>
              <w:rPr>
                <w:rFonts w:eastAsia="Times New Roman"/>
              </w:rPr>
              <w:t>го обязательств перед Кредитором, возникших из Кредитного соглашения об открытии кредитной линии №2613-172-К от 12 апреля 2013 года, с учетом изменений, внесенных Дополнительным соглашением №1 от 25 августа 2015 («Кредитное соглашение»), заключенного между</w:t>
            </w:r>
            <w:r>
              <w:rPr>
                <w:rFonts w:eastAsia="Times New Roman"/>
              </w:rPr>
              <w:t xml:space="preserve"> Кредитором и Должником, в соответствии с которым Кредитор обязуется открыть Должнику Кредитную линию в размере и на условиях, указанных в Кредитном соглашении, а Должник обязуется возвратить Кредит, полученный по Кредитной линии, уплатить проценты и выпол</w:t>
            </w:r>
            <w:r>
              <w:rPr>
                <w:rFonts w:eastAsia="Times New Roman"/>
              </w:rPr>
              <w:t xml:space="preserve">нить иные обязательства, предусмотренные Кредитным соглашением. По До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1.9. Одобрить сделку, в совершении которой имеется заинтересованность - Договор пор</w:t>
            </w:r>
            <w:r>
              <w:rPr>
                <w:rFonts w:eastAsia="Times New Roman"/>
              </w:rPr>
              <w:t>учительства (далее – «Договор», в соответствии с которым Публичное акционерное общество «Челябинский металлургический комбинат» (Поручитель) обязывается солидарно с Обществом с ограниченной ответственностью «Челябинский завод по производству коксохимическо</w:t>
            </w:r>
            <w:r>
              <w:rPr>
                <w:rFonts w:eastAsia="Times New Roman"/>
              </w:rPr>
              <w:t>й продукции», (Должник), отвечать перед «Газпромбанк» (Акционерное общество) (Банк, Кредитор) за исполнение Должником его обязательств перед Кредитором по погашению (возврату) Доли основного долга и процентов, начисленных по Кредитному соглашению об открыт</w:t>
            </w:r>
            <w:r>
              <w:rPr>
                <w:rFonts w:eastAsia="Times New Roman"/>
              </w:rPr>
              <w:t>ии кредитной линии №2612-195-К от 3 мая 2012 года, с учетом изменений, внесенных Дополнительным соглашением б/н от 9 ноября 2012 года и Дополнительным соглашением б/н от 23 апреля 2013 года, заключенного между Кредитором и Должником и переведенных в соотве</w:t>
            </w:r>
            <w:r>
              <w:rPr>
                <w:rFonts w:eastAsia="Times New Roman"/>
              </w:rPr>
              <w:t xml:space="preserve">тствии с Договором о переводе долга, заключенного между Кредитором, ООО «Мечел-Сервис» (Первоначальный Должник) и ООО «Мечел-Кокс» (далее «Договор о переводе долга»), а та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1.10. Одобрить сделку, в совершении которой имеется заинтересованность - Договор поручительства (далее – «Договор»), в соответствии с которым Публичное акционерное общество «Челябинский металлургический комбинат» (Поручитель) об</w:t>
            </w:r>
            <w:r>
              <w:rPr>
                <w:rFonts w:eastAsia="Times New Roman"/>
              </w:rPr>
              <w:t xml:space="preserve">язывается солидарно с Обществом с ограниченной ответственностью «МЕЧЕЛ-ЭНЕРГО» (Заемщик), отвечать перед «Газпромбанк» (Акционерное общество) (Банк, Кредитор) за исполнение Заемщиком его обязательств перед Кредитором по погашению (возврату) Доли основного </w:t>
            </w:r>
            <w:r>
              <w:rPr>
                <w:rFonts w:eastAsia="Times New Roman"/>
              </w:rPr>
              <w:t>долга, начисленных процентов и иных обязательств Заемщика, в том числе его обязательств как солидарного должника по отношению к Должникам (далее - «Обеспеченные обязательства»), возникших из Кредитного соглашения об открытии кредитной линии № 2612-196-К от</w:t>
            </w:r>
            <w:r>
              <w:rPr>
                <w:rFonts w:eastAsia="Times New Roman"/>
              </w:rPr>
              <w:t xml:space="preserve"> 4 мая 2012 года, с учетом Дополнительного соглашения №2 между Кредитором, Заемщиком, ОАО «Южный Кузбасс», ПАО «ЧМК» и ОАО «Уралкуз» («Кредитное соглашение»). - По Договору Поручитель обязывается перед Кредитором отвечать за исполнение Заемщиком Обязательс</w:t>
            </w:r>
            <w:r>
              <w:rPr>
                <w:rFonts w:eastAsia="Times New Roman"/>
              </w:rPr>
              <w:t xml:space="preserve">тв по Кредитному соглашен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1.11. Одобрить сделку, в совершении которой имеется заинтересованность </w:t>
            </w:r>
            <w:r>
              <w:rPr>
                <w:rFonts w:eastAsia="Times New Roman"/>
              </w:rPr>
              <w:t>- Договор поручительства (далее – «Договор»), в соответствии с которым Публичное акционерное общество «Челябинский металлургический комбинат» (Поручитель) обязывается солидарно с Открытым акционерным обществом «Уральская кузница», (Должник или Заемщик), от</w:t>
            </w:r>
            <w:r>
              <w:rPr>
                <w:rFonts w:eastAsia="Times New Roman"/>
              </w:rPr>
              <w:t>вечать перед «Газпромбанк» (Акционерное общество) (Банк, Кредитор) за исполнение Должником его обязательств перед Кредитором, возникших из Кредитного соглашения об открытии кредитной линии №2613-173-К от 12 апреля 2013 года, с учетом изменений, внесенных Д</w:t>
            </w:r>
            <w:r>
              <w:rPr>
                <w:rFonts w:eastAsia="Times New Roman"/>
              </w:rPr>
              <w:t>ополнительным соглашением №1 от 25 августа 2015 года («Кредитное соглашение»), заключенного между Кредитором и Должником, в соответствии с которым Кредитор обязуется открыть Должнику Кредитную линию в размере и на условиях, указанных в Кредитном соглашении</w:t>
            </w:r>
            <w:r>
              <w:rPr>
                <w:rFonts w:eastAsia="Times New Roman"/>
              </w:rPr>
              <w:t xml:space="preserve">, а Должник обязуется возвратить Кредит, полученный по Кредитной линии, уплатить проценты и выполнить иные обязательства, предусмотренные Кредитным соглашением. По Договору Пору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</w:t>
            </w:r>
            <w:r>
              <w:rPr>
                <w:rFonts w:eastAsia="Times New Roman"/>
              </w:rPr>
              <w:t>мер проекта решения:1.12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1.12. Одобрить сделку, в совершении которой имеется заинтересованность - Договор поручительства (далее – «Договор»), в соответствии с которым Публичное акционерное общество «Челябинский металлургический комбинат» (Поручитель) обяз</w:t>
            </w:r>
            <w:r>
              <w:rPr>
                <w:rFonts w:eastAsia="Times New Roman"/>
              </w:rPr>
              <w:t>ывается солидарно с Обществом с ограниченной ответственностью «Мечел-Сервис» (Заемщик,), отвечать перед «Газпромбанк» (Акционерное общество) (Банк, Кредитор) за исполнение Заемщиком его обязательств перед Кредитором по погашению (возврату) Доли основного д</w:t>
            </w:r>
            <w:r>
              <w:rPr>
                <w:rFonts w:eastAsia="Times New Roman"/>
              </w:rPr>
              <w:t>олга, начисленных процентов и иных обязательств Заемщика, в том числе его обязательств как солидарного должника по отношению к Должникам (далее - «Обеспеченные обязательства») возникших из Кредитного соглашения об открытии кредитной линии № 2612-195-К от 3</w:t>
            </w:r>
            <w:r>
              <w:rPr>
                <w:rFonts w:eastAsia="Times New Roman"/>
              </w:rPr>
              <w:t xml:space="preserve"> мая 2012 года, с учетом изменений, внесенных Дополнительным соглашением №3, заключенного между Кредитором, Заемщиком, ОАО «Южный Кузбасс», ПАО «ЧМК», ООО «Мечел-Кокс» и ОАО «Уралкуз» («Кредитное соглашение»). По Договору Поручитель обязывается перед Креди</w:t>
            </w:r>
            <w:r>
              <w:rPr>
                <w:rFonts w:eastAsia="Times New Roman"/>
              </w:rPr>
              <w:t xml:space="preserve">тором отвечать за испо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1.13. «Одобрить сделку, в совершении которой имеется заинтересованность, связанную с предоставлением поручительства, между </w:t>
            </w:r>
            <w:r>
              <w:rPr>
                <w:rFonts w:eastAsia="Times New Roman"/>
              </w:rPr>
              <w:t xml:space="preserve">Публичным акционерным обществом «Челябинский металлургический комбинат» (Поручитель) и «Газпромбанк» (Акционерное общество) (Кредитор или Банк), на следующих условиях: Выгодоприобретатель: Общество с ограниченной ответственностью «Мечел-Сервис» (Заемщик). </w:t>
            </w:r>
            <w:r>
              <w:rPr>
                <w:rFonts w:eastAsia="Times New Roman"/>
              </w:rPr>
              <w:t>Предмет, цена и иные существенные условия сделки: 1. Поручитель обязывается солидарно с ООО «Мечел-Сервис» (Заемщик) отвечать перед Кредитором за исполнение Заемщиком его обязательств перед Кредитором по погашению (возврату) Доли основного долга, начисленн</w:t>
            </w:r>
            <w:r>
              <w:rPr>
                <w:rFonts w:eastAsia="Times New Roman"/>
              </w:rPr>
              <w:t>ых процентов и иных обязательств Заемщика (Обеспеченные обязательства) возникших из Кредитного соглашения об открытии кредитной линии № 2612-195-К от 3 мая 2012 года, с учетом изменений, внесенных Дополнительным соглашением б/н от 9 ноября 2012 года, Допол</w:t>
            </w:r>
            <w:r>
              <w:rPr>
                <w:rFonts w:eastAsia="Times New Roman"/>
              </w:rPr>
              <w:t xml:space="preserve">нительным соглашением б/н от 23 апреля 2013 года, а также с учетом изменений, внесенных Дополнительным соглашением №3 от 4 февраля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1.14. Одобрить сделку, в совершении которой имеется заинтересованность, связанную с предоставлением поручительства, между Публичным акционерным обществом «Челябинский металлургический комбинат» (Поручитель) и «Газпромбанк» (Акционерное общество) (Кредитор </w:t>
            </w:r>
            <w:r>
              <w:rPr>
                <w:rFonts w:eastAsia="Times New Roman"/>
              </w:rPr>
              <w:t>или Банк), на следующих условиях: Выгодоприобретатель: Публичное акционерное общество «Угольная компания «Южный Кузбасс» (Должник). Предмет сделки: 1. В соответствии с условиями Договора Поручитель обязывается солидарно с ПАО «Южный Кузбасс» (Должник), отв</w:t>
            </w:r>
            <w:r>
              <w:rPr>
                <w:rFonts w:eastAsia="Times New Roman"/>
              </w:rPr>
              <w:t>ечать перед Кредитором: - за исполнение Должником его обязательств перед Кредитором по погашению (возврату) Доли основного долга и процентов, начисленных по Кредитному соглашению об открытии кредитной линии №2612-195-К от 3 мая 2012 года, с учетом изменени</w:t>
            </w:r>
            <w:r>
              <w:rPr>
                <w:rFonts w:eastAsia="Times New Roman"/>
              </w:rPr>
              <w:t xml:space="preserve">й, внесенных Дополнительным соглашением б/н от 9 ноября 2012 года, Дополнительным соглашением б/н от 23 апреля 2013 года, заключенному между Кредитором и ООО «Мечел-Сервис», и переведенных в соответствии с Договором о переводе долга № 2612-195-К-3 от 4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>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1.15. Одобрить сделку, в совершении которой имеется заинтересованность, связанную с предоставлением поручительства, между Публичным акционерным обществом «</w:t>
            </w:r>
            <w:r>
              <w:rPr>
                <w:rFonts w:eastAsia="Times New Roman"/>
              </w:rPr>
              <w:t>Челябинский металлургический комбинат» (Поручитель) и «Газпромбанк» (Акционерное общество) (Кредитор или Банк), на следующих условиях: Выгодоприобретатель: Общество с ограниченной ответственностью «Челябинский завод по производству коксохимической продукци</w:t>
            </w:r>
            <w:r>
              <w:rPr>
                <w:rFonts w:eastAsia="Times New Roman"/>
              </w:rPr>
              <w:t xml:space="preserve">и» (Должник). Предмет, цена и иные существенные условия сделки: 1. В соответствии с условиями Договора Поручитель обязывается солидарно с ООО «Мечел-Кокс» (Должник), отвечать перед Кредитором: - за исполнение Должником его обязательств перед Кредитором по </w:t>
            </w:r>
            <w:r>
              <w:rPr>
                <w:rFonts w:eastAsia="Times New Roman"/>
              </w:rPr>
              <w:t>погашению (возврату) Доли основного долга и процентов, начисленных по Кредитному соглашению об открытии кредитной линии №2612-195-К от 3 мая 2012 года, с учетом изменений, внесенных Дополнительным соглашением б/н от 9 ноября 2012 года, Дополнительным согла</w:t>
            </w:r>
            <w:r>
              <w:rPr>
                <w:rFonts w:eastAsia="Times New Roman"/>
              </w:rPr>
              <w:t xml:space="preserve">шением б/н от 23 апреля 2013 года, заключенному между Кредитором и ООО «Мечел-Сервис», и перевед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1.16 Одобрить сделку, в совершении которой имеется заинтересованность, а именно: заключение Дополнительного соглашения №1 к Договору поручительства № 9991-021/00018/0104 от 22.01.2016г. (далее по тексту настоящего вопроса – «Договор»), заключенному между П</w:t>
            </w:r>
            <w:r>
              <w:rPr>
                <w:rFonts w:eastAsia="Times New Roman"/>
              </w:rPr>
              <w:t xml:space="preserve">убличным акционерным обществом «Челябинский металлургический комбинат» (далее по тексту настоящего вопроса – «Поручитель») и Публичным акционерным обществом «БАНК УРАЛСИБ» (далее по тексту настоящего вопроса – «Банк») в обеспечение исполнения обязательств </w:t>
            </w:r>
            <w:r>
              <w:rPr>
                <w:rFonts w:eastAsia="Times New Roman"/>
              </w:rPr>
              <w:t>ПАО «Уралкуз» (далее по тексту настоящего решения – «Должник») по Договору №9991-021/00018 о предоставлении кредитной линии (невозобновляемой) от «22» января 2016 года, заключенному между Банком и Должником, на условиях, изложенных в настоящем решении: Пре</w:t>
            </w:r>
            <w:r>
              <w:rPr>
                <w:rFonts w:eastAsia="Times New Roman"/>
              </w:rPr>
              <w:t xml:space="preserve">дмет сделки: 1. Изложить пункт 1.1. Раздела 1 «ПРЕДМЕТ ДОГОВОРА» Договора в следующей редакции: «1.1. Поручитель обязуется перед Банком отвечать в полном объеме за исполнение обязательств Публичным Акционерным Обществом «Уральская кузница» (далее –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</w:t>
            </w:r>
            <w:r>
              <w:rPr>
                <w:rFonts w:eastAsia="Times New Roman"/>
              </w:rPr>
              <w:t>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1.17. Одобрить совершение Публичным акционерным обществом «Челябинский металлургический комбинат» (далее - «Общество») следующих </w:t>
            </w:r>
            <w:r>
              <w:rPr>
                <w:rFonts w:eastAsia="Times New Roman"/>
              </w:rPr>
              <w:t xml:space="preserve">сделок, в совершении которых имеется заинтересованность между Публичным акционерным обществом «Сбербанк России» (ПАО Сбербанк), именуемым в дальнейшем Кредитор или Банк и Публичным акционерным обществом «Челябинский металлургический комбинат» (ПАО «ЧМК»), </w:t>
            </w:r>
            <w:r>
              <w:rPr>
                <w:rFonts w:eastAsia="Times New Roman"/>
              </w:rPr>
              <w:t>именуемым в дальнейшем Поручитель путем заключения: А) Дополнительного соглашения № 3 к Договору поручительства № №ПОР-5608/2, в соответствии с которым Поручитель отвечает за исполнение заемщиком – Компанией Mechel Trading AG всех обязательств перед Кредит</w:t>
            </w:r>
            <w:r>
              <w:rPr>
                <w:rFonts w:eastAsia="Times New Roman"/>
              </w:rPr>
              <w:t>ором по Кредитному договору 2, Кредитному договору 3, как они поименованы ниже; Договора поручительства, в соответствии с которым Поручитель отвечает за исполнение заемщиком – Открытым акционерным обществом «Угольная компания «Южный Кузбасс» всех обязатель</w:t>
            </w:r>
            <w:r>
              <w:rPr>
                <w:rFonts w:eastAsia="Times New Roman"/>
              </w:rPr>
              <w:t xml:space="preserve">ств перед Кредитором по Кредитному договору 4, Кредитному договору 5, Кредитному договору 6, Кредитному договору 7, Кредитно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0D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500DA5">
      <w:pPr>
        <w:rPr>
          <w:rFonts w:eastAsia="Times New Roman"/>
        </w:rPr>
      </w:pPr>
    </w:p>
    <w:p w:rsidR="00000000" w:rsidRDefault="00500DA5">
      <w:pPr>
        <w:pStyle w:val="a3"/>
      </w:pPr>
      <w:r>
        <w:t>"4.10. Информация о решениях, принятых общим собранием ак</w:t>
      </w:r>
      <w:r>
        <w:t>ционеров, а также об итогах голосования на общем собрании акционеров"</w:t>
      </w:r>
    </w:p>
    <w:p w:rsidR="00000000" w:rsidRDefault="00500DA5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</w:t>
      </w:r>
      <w:r>
        <w:t xml:space="preserve">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00DA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00DA5" w:rsidRDefault="00500DA5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</w:t>
      </w:r>
      <w:r>
        <w:rPr>
          <w:rFonts w:eastAsia="Times New Roman"/>
        </w:rPr>
        <w:t xml:space="preserve">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500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111754"/>
    <w:rsid w:val="00111754"/>
    <w:rsid w:val="0050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10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a52ed19259f415b90e22fb1833e9c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3340</Words>
  <Characters>19040</Characters>
  <Application>Microsoft Office Word</Application>
  <DocSecurity>0</DocSecurity>
  <Lines>158</Lines>
  <Paragraphs>44</Paragraphs>
  <ScaleCrop>false</ScaleCrop>
  <Company/>
  <LinksUpToDate>false</LinksUpToDate>
  <CharactersWithSpaces>22336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2016-11-17T04:56:00Z</dcterms:created>
  <dcterms:modified xsi:type="dcterms:W3CDTF">2016-11-17T04:56:00Z</dcterms:modified>
</cp:coreProperties>
</file>