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C00">
      <w:pPr>
        <w:pStyle w:val="a3"/>
        <w:divId w:val="10519246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1924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95384173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</w:p>
        </w:tc>
      </w:tr>
      <w:tr w:rsidR="00000000">
        <w:trPr>
          <w:divId w:val="1051924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</w:p>
        </w:tc>
      </w:tr>
      <w:tr w:rsidR="00000000">
        <w:trPr>
          <w:divId w:val="1051924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93852826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</w:p>
        </w:tc>
      </w:tr>
      <w:tr w:rsidR="00000000">
        <w:trPr>
          <w:divId w:val="1051924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924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C00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9E4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4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E4C00">
      <w:pPr>
        <w:rPr>
          <w:rFonts w:eastAsia="Times New Roman"/>
        </w:rPr>
      </w:pPr>
    </w:p>
    <w:p w:rsidR="00000000" w:rsidRDefault="009E4C0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E4C00">
      <w:pPr>
        <w:pStyle w:val="a3"/>
      </w:pPr>
      <w:r>
        <w:t>14.2</w:t>
      </w:r>
      <w:r>
        <w:t xml:space="preserve">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9E4C00">
      <w:pPr>
        <w:pStyle w:val="a3"/>
      </w:pPr>
      <w:r>
        <w:t xml:space="preserve">14.4 Информация об исполнении эмитентом обязанности по выплате денежных </w:t>
      </w:r>
      <w:r>
        <w:t xml:space="preserve">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9E4C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9E4C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 manager (495) 956-27-90, (495) 956-27-91</w:t>
      </w:r>
    </w:p>
    <w:p w:rsidR="00000000" w:rsidRDefault="009E4C00">
      <w:pPr>
        <w:rPr>
          <w:rFonts w:eastAsia="Times New Roman"/>
        </w:rPr>
      </w:pPr>
      <w:r>
        <w:rPr>
          <w:rFonts w:eastAsia="Times New Roman"/>
        </w:rPr>
        <w:br/>
      </w:r>
    </w:p>
    <w:p w:rsidR="009E4C00" w:rsidRDefault="009E4C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45B"/>
    <w:rsid w:val="009E4C00"/>
    <w:rsid w:val="00C3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20C18E-5C72-4D2C-BE2B-9084CC4F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f30d34184e4bdcb5ad8800fee6a6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2024-05-15T04:56:00Z</dcterms:created>
  <dcterms:modified xsi:type="dcterms:W3CDTF">2024-05-15T04:56:00Z</dcterms:modified>
</cp:coreProperties>
</file>