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1EF0">
      <w:pPr>
        <w:pStyle w:val="a3"/>
        <w:divId w:val="3784808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8480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95926433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</w:p>
        </w:tc>
      </w:tr>
      <w:tr w:rsidR="00000000">
        <w:trPr>
          <w:divId w:val="378480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</w:p>
        </w:tc>
      </w:tr>
      <w:tr w:rsidR="00000000">
        <w:trPr>
          <w:divId w:val="378480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95852928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</w:p>
        </w:tc>
      </w:tr>
      <w:tr w:rsidR="00000000">
        <w:trPr>
          <w:divId w:val="378480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8480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1EF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6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</w:p>
        </w:tc>
      </w:tr>
    </w:tbl>
    <w:p w:rsidR="00000000" w:rsidRDefault="0026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E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1EF0">
      <w:pPr>
        <w:rPr>
          <w:rFonts w:eastAsia="Times New Roman"/>
        </w:rPr>
      </w:pPr>
    </w:p>
    <w:p w:rsidR="00000000" w:rsidRDefault="00261E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1EF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(в том числе о выплате дивидендов)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 вы</w:t>
      </w:r>
      <w:r>
        <w:rPr>
          <w:rFonts w:eastAsia="Times New Roman"/>
        </w:rPr>
        <w:t xml:space="preserve">плате членам Совета директоров Общества вознаграждений и компенсаций. </w:t>
      </w:r>
    </w:p>
    <w:p w:rsidR="00000000" w:rsidRDefault="00261E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</w:t>
      </w:r>
      <w:r>
        <w:t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61EF0">
      <w:pPr>
        <w:pStyle w:val="a3"/>
      </w:pPr>
      <w:r>
        <w:t>4.2 Информация о соз</w:t>
      </w:r>
      <w:r>
        <w:t>ыве общего собрания акционеров эмитента</w:t>
      </w:r>
    </w:p>
    <w:p w:rsidR="00000000" w:rsidRDefault="00261E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000000" w:rsidRDefault="00261EF0">
      <w:pPr>
        <w:rPr>
          <w:rFonts w:eastAsia="Times New Roman"/>
        </w:rPr>
      </w:pPr>
      <w:r>
        <w:rPr>
          <w:rFonts w:eastAsia="Times New Roman"/>
        </w:rPr>
        <w:br/>
      </w:r>
    </w:p>
    <w:p w:rsidR="00261EF0" w:rsidRDefault="00261E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70E6"/>
    <w:rsid w:val="000970E6"/>
    <w:rsid w:val="002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B575D-B143-42AC-BB8A-13ECFB9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2024-05-27T04:55:00Z</dcterms:created>
  <dcterms:modified xsi:type="dcterms:W3CDTF">2024-05-27T04:55:00Z</dcterms:modified>
</cp:coreProperties>
</file>