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1F60">
      <w:pPr>
        <w:pStyle w:val="a3"/>
        <w:divId w:val="20617820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782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68164339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</w:tr>
      <w:tr w:rsidR="00000000">
        <w:trPr>
          <w:divId w:val="2061782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</w:tr>
      <w:tr w:rsidR="00000000">
        <w:trPr>
          <w:divId w:val="2061782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68126911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</w:tr>
      <w:tr w:rsidR="00000000">
        <w:trPr>
          <w:divId w:val="2061782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782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1F6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1F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1F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</w:tr>
    </w:tbl>
    <w:p w:rsidR="00000000" w:rsidRDefault="009E1F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1F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Прибыль по результатам отчетного 2021 года в размере 466 825 602 рублей 72 копейки оставить нераспределенной. 1.2. Дивиденды по обыкновенным и привилегированным акциям ПАО «Мечел»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218954435</w:t>
            </w:r>
            <w:r>
              <w:rPr>
                <w:rFonts w:eastAsia="Times New Roman"/>
              </w:rPr>
              <w:br/>
              <w:t>Против: 56</w:t>
            </w:r>
            <w:r>
              <w:rPr>
                <w:rFonts w:eastAsia="Times New Roman"/>
              </w:rPr>
              <w:t>3065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457902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Совета директоров Публичного акционерного общества «Мечел»: 1. Зюзин Игорь Владимирович 2. Глумов Иван Федорович 3. Петров Георгий Георгиевич 4. Коцкий Александр Николаевич </w:t>
            </w:r>
            <w:r>
              <w:rPr>
                <w:rFonts w:eastAsia="Times New Roman"/>
              </w:rPr>
              <w:t xml:space="preserve">5. Коржов Олег Викторович 6. Орищин Александр Дмитриевич 7. Ипеева Ирина Николаевна 8. Галеева Нелли Рафаиловна 9. Малышев Юрий Николаевич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350541</w:t>
            </w:r>
            <w:r>
              <w:rPr>
                <w:rFonts w:eastAsia="Times New Roman"/>
              </w:rPr>
              <w:br/>
              <w:t>Воздержался: 8079795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232313267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Глумов Иван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228752013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228500492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228495557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223559147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218512947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208496062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Галеева Нелли Рафаиловна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207433242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195247979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219102446</w:t>
            </w:r>
            <w:r>
              <w:rPr>
                <w:rFonts w:eastAsia="Times New Roman"/>
              </w:rPr>
              <w:br/>
              <w:t>Против: 77454</w:t>
            </w:r>
            <w:r>
              <w:rPr>
                <w:rFonts w:eastAsia="Times New Roman"/>
              </w:rPr>
              <w:br/>
              <w:t>Воздержался: 795502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219419564</w:t>
            </w:r>
            <w:r>
              <w:rPr>
                <w:rFonts w:eastAsia="Times New Roman"/>
              </w:rPr>
              <w:br/>
              <w:t>Против: 65908</w:t>
            </w:r>
            <w:r>
              <w:rPr>
                <w:rFonts w:eastAsia="Times New Roman"/>
              </w:rPr>
              <w:br/>
              <w:t>Воздержался: 489930</w:t>
            </w:r>
          </w:p>
        </w:tc>
      </w:tr>
    </w:tbl>
    <w:p w:rsidR="00000000" w:rsidRDefault="009E1F60">
      <w:pPr>
        <w:rPr>
          <w:rFonts w:eastAsia="Times New Roman"/>
        </w:rPr>
      </w:pPr>
    </w:p>
    <w:p w:rsidR="00000000" w:rsidRDefault="009E1F6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E1F6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E1F60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E1F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1F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9E1F60">
      <w:pPr>
        <w:rPr>
          <w:rFonts w:eastAsia="Times New Roman"/>
        </w:rPr>
      </w:pPr>
      <w:r>
        <w:rPr>
          <w:rFonts w:eastAsia="Times New Roman"/>
        </w:rPr>
        <w:br/>
      </w:r>
    </w:p>
    <w:p w:rsidR="009E1F60" w:rsidRDefault="009E1F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9E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19B5"/>
    <w:rsid w:val="009E1F60"/>
    <w:rsid w:val="00C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3312E1-4547-4BFE-8026-DA93F02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f1f3e2f2fc4e44a864d11eb82f7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2022-07-04T09:57:00Z</dcterms:created>
  <dcterms:modified xsi:type="dcterms:W3CDTF">2022-07-04T09:57:00Z</dcterms:modified>
</cp:coreProperties>
</file>