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5C7C">
      <w:pPr>
        <w:pStyle w:val="a3"/>
        <w:divId w:val="9635795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63579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77853330</w:t>
            </w:r>
          </w:p>
        </w:tc>
        <w:tc>
          <w:tcPr>
            <w:tcW w:w="0" w:type="auto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</w:p>
        </w:tc>
      </w:tr>
      <w:tr w:rsidR="00000000">
        <w:trPr>
          <w:divId w:val="963579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</w:p>
        </w:tc>
      </w:tr>
      <w:tr w:rsidR="00000000">
        <w:trPr>
          <w:divId w:val="963579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3579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5C7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5C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5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802669X15002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65C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3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465C7C">
      <w:pPr>
        <w:rPr>
          <w:rFonts w:eastAsia="Times New Roman"/>
        </w:rPr>
      </w:pPr>
    </w:p>
    <w:p w:rsidR="00000000" w:rsidRDefault="00465C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5C7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ПАО Московская Биржа, в том числе выплата (объявление) дивидендов по результатам 2022 года. </w:t>
      </w:r>
      <w:r>
        <w:rPr>
          <w:rFonts w:eastAsia="Times New Roman"/>
        </w:rPr>
        <w:br/>
        <w:t>3. Избрание членов Наблюдательного совета ПАО Московская Биржа.</w:t>
      </w:r>
      <w:r>
        <w:rPr>
          <w:rFonts w:eastAsia="Times New Roman"/>
        </w:rPr>
        <w:br/>
        <w:t xml:space="preserve">4. Назначение аудиторской организации ПАО Московская Биржа. </w:t>
      </w:r>
      <w:r>
        <w:rPr>
          <w:rFonts w:eastAsia="Times New Roman"/>
        </w:rPr>
        <w:br/>
        <w:t>5. Утверждени</w:t>
      </w:r>
      <w:r>
        <w:rPr>
          <w:rFonts w:eastAsia="Times New Roman"/>
        </w:rPr>
        <w:t xml:space="preserve">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>6. Выплата вознаграждения членам Наблюдательного совета ПАО Московская Биржа.</w:t>
      </w:r>
      <w:r>
        <w:rPr>
          <w:rFonts w:eastAsia="Times New Roman"/>
        </w:rPr>
        <w:br/>
        <w:t>7. Изменение кол</w:t>
      </w:r>
      <w:r>
        <w:rPr>
          <w:rFonts w:eastAsia="Times New Roman"/>
        </w:rPr>
        <w:t xml:space="preserve">ичественного состава Наблюдательного совета ПАО Московская Биржа. </w:t>
      </w:r>
    </w:p>
    <w:p w:rsidR="00000000" w:rsidRDefault="00465C7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</w:t>
      </w:r>
      <w:r>
        <w:t>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65C7C">
      <w:pPr>
        <w:pStyle w:val="a3"/>
      </w:pPr>
      <w:r>
        <w:t xml:space="preserve">4.2 Информация о созыве </w:t>
      </w:r>
      <w:r>
        <w:t>общего собрания акционеров эмитента</w:t>
      </w:r>
    </w:p>
    <w:p w:rsidR="00000000" w:rsidRDefault="00465C7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65C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65C7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p w:rsidR="00000000" w:rsidRDefault="00465C7C">
      <w:pPr>
        <w:rPr>
          <w:rFonts w:eastAsia="Times New Roman"/>
        </w:rPr>
      </w:pPr>
      <w:r>
        <w:rPr>
          <w:rFonts w:eastAsia="Times New Roman"/>
        </w:rPr>
        <w:br/>
      </w:r>
    </w:p>
    <w:p w:rsidR="00465C7C" w:rsidRDefault="00465C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46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1C71"/>
    <w:rsid w:val="00465C7C"/>
    <w:rsid w:val="00E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E19B61-3226-40B1-83B8-E5EA21BF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d94c4f2df341158aaaf688fbdfc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2023-05-03T04:18:00Z</dcterms:created>
  <dcterms:modified xsi:type="dcterms:W3CDTF">2023-05-03T04:18:00Z</dcterms:modified>
</cp:coreProperties>
</file>